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E52A2" w:rsidRPr="00C50B27" w:rsidTr="00015E21">
        <w:tc>
          <w:tcPr>
            <w:tcW w:w="9828" w:type="dxa"/>
            <w:gridSpan w:val="9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E52A2" w:rsidRPr="00C50B27" w:rsidTr="00015E21">
        <w:tc>
          <w:tcPr>
            <w:tcW w:w="2808" w:type="dxa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Zuzana </w:t>
            </w:r>
            <w:proofErr w:type="spellStart"/>
            <w:r>
              <w:rPr>
                <w:sz w:val="22"/>
                <w:szCs w:val="22"/>
              </w:rPr>
              <w:t>Sedmerová</w:t>
            </w:r>
            <w:proofErr w:type="spellEnd"/>
          </w:p>
        </w:tc>
      </w:tr>
      <w:tr w:rsidR="001E52A2" w:rsidRPr="00C50B27" w:rsidTr="00015E21">
        <w:tc>
          <w:tcPr>
            <w:tcW w:w="2808" w:type="dxa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Geek</w:t>
            </w:r>
            <w:proofErr w:type="spellEnd"/>
            <w:r>
              <w:rPr>
                <w:sz w:val="22"/>
                <w:szCs w:val="22"/>
              </w:rPr>
              <w:t xml:space="preserve"> – jako jedna z forem sociálního jednání</w:t>
            </w:r>
          </w:p>
        </w:tc>
      </w:tr>
      <w:tr w:rsidR="001E52A2" w:rsidRPr="00C50B27" w:rsidTr="00015E21">
        <w:tc>
          <w:tcPr>
            <w:tcW w:w="2808" w:type="dxa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1E52A2" w:rsidRPr="00C50B27" w:rsidTr="00015E21">
        <w:tc>
          <w:tcPr>
            <w:tcW w:w="2808" w:type="dxa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E52A2" w:rsidRPr="00C50B27" w:rsidTr="00015E21">
        <w:tc>
          <w:tcPr>
            <w:tcW w:w="2808" w:type="dxa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E52A2" w:rsidRPr="00C50B27" w:rsidTr="00015E21">
        <w:tc>
          <w:tcPr>
            <w:tcW w:w="2808" w:type="dxa"/>
            <w:vAlign w:val="center"/>
          </w:tcPr>
          <w:p w:rsidR="001E52A2" w:rsidRPr="00C50B27" w:rsidRDefault="001E52A2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E52A2" w:rsidRPr="00C50B27" w:rsidRDefault="001E52A2" w:rsidP="00015E2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E52A2" w:rsidRPr="00C50B27" w:rsidRDefault="001E52A2" w:rsidP="00015E2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E52A2" w:rsidRPr="00C50B27" w:rsidTr="00015E21">
        <w:tc>
          <w:tcPr>
            <w:tcW w:w="9828" w:type="dxa"/>
            <w:gridSpan w:val="9"/>
            <w:shd w:val="clear" w:color="auto" w:fill="A6A6A6"/>
          </w:tcPr>
          <w:p w:rsidR="001E52A2" w:rsidRPr="00C50B27" w:rsidRDefault="001E52A2" w:rsidP="00015E2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9828" w:type="dxa"/>
            <w:gridSpan w:val="9"/>
            <w:shd w:val="clear" w:color="auto" w:fill="A6A6A6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E52A2" w:rsidRPr="001E52A2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1E52A2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9828" w:type="dxa"/>
            <w:gridSpan w:val="9"/>
            <w:shd w:val="clear" w:color="auto" w:fill="A6A6A6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E52A2" w:rsidRPr="001E52A2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1E52A2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9828" w:type="dxa"/>
            <w:gridSpan w:val="9"/>
            <w:shd w:val="clear" w:color="auto" w:fill="A6A6A6"/>
          </w:tcPr>
          <w:p w:rsidR="001E52A2" w:rsidRPr="00B411DB" w:rsidRDefault="001E52A2" w:rsidP="00015E2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1E52A2" w:rsidRPr="00FC0611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FC061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9828" w:type="dxa"/>
            <w:gridSpan w:val="9"/>
          </w:tcPr>
          <w:p w:rsidR="001E52A2" w:rsidRPr="00C50B27" w:rsidRDefault="001E52A2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Nadprůměrná práce. Spojuje teoretickou relevanci pro studovaný obor, věcnou a metodologickou ujasněnost s netriviálními závěry, které jsou podloženy daty.</w:t>
            </w: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</w:tc>
      </w:tr>
      <w:tr w:rsidR="001E52A2" w:rsidRPr="00C50B27" w:rsidTr="00015E21">
        <w:tc>
          <w:tcPr>
            <w:tcW w:w="9828" w:type="dxa"/>
            <w:gridSpan w:val="9"/>
          </w:tcPr>
          <w:p w:rsidR="001E52A2" w:rsidRPr="00C50B27" w:rsidRDefault="001E52A2" w:rsidP="00015E2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5D1EE4" w:rsidP="005D1EE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souvislosti se subkulturami se hovoří o konformitě/</w:t>
            </w:r>
            <w:proofErr w:type="spellStart"/>
            <w:r>
              <w:rPr>
                <w:sz w:val="22"/>
                <w:szCs w:val="22"/>
              </w:rPr>
              <w:t>nonkonformitě</w:t>
            </w:r>
            <w:proofErr w:type="spellEnd"/>
            <w:r>
              <w:rPr>
                <w:sz w:val="22"/>
                <w:szCs w:val="22"/>
              </w:rPr>
              <w:t xml:space="preserve"> jejich členů. Do kterých dimenzí života se koncentrují nonkonformní praktiky </w:t>
            </w:r>
            <w:proofErr w:type="spellStart"/>
            <w:r>
              <w:rPr>
                <w:sz w:val="22"/>
                <w:szCs w:val="22"/>
              </w:rPr>
              <w:t>geeků</w:t>
            </w:r>
            <w:proofErr w:type="spellEnd"/>
            <w:r>
              <w:rPr>
                <w:sz w:val="22"/>
                <w:szCs w:val="22"/>
              </w:rPr>
              <w:t>? Ve kterých naopak nacházíme více či méně dokonalou konformitu?</w:t>
            </w: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  <w:p w:rsidR="001E52A2" w:rsidRPr="00C50B27" w:rsidRDefault="001E52A2" w:rsidP="00015E21">
            <w:pPr>
              <w:rPr>
                <w:sz w:val="22"/>
                <w:szCs w:val="22"/>
              </w:rPr>
            </w:pPr>
          </w:p>
        </w:tc>
      </w:tr>
      <w:tr w:rsidR="001E52A2" w:rsidRPr="00C50B27" w:rsidTr="00015E21">
        <w:tc>
          <w:tcPr>
            <w:tcW w:w="6791" w:type="dxa"/>
            <w:gridSpan w:val="3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E52A2" w:rsidRPr="001E52A2" w:rsidRDefault="001E52A2" w:rsidP="00015E21">
            <w:pPr>
              <w:jc w:val="center"/>
              <w:rPr>
                <w:b/>
                <w:sz w:val="22"/>
                <w:szCs w:val="22"/>
              </w:rPr>
            </w:pPr>
            <w:r w:rsidRPr="001E52A2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E52A2" w:rsidRPr="00C50B27" w:rsidRDefault="001E52A2" w:rsidP="00015E2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E52A2" w:rsidRPr="00C50B27" w:rsidTr="00015E21">
        <w:tc>
          <w:tcPr>
            <w:tcW w:w="4068" w:type="dxa"/>
            <w:gridSpan w:val="2"/>
            <w:vAlign w:val="center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2. 1. 2014</w:t>
            </w:r>
          </w:p>
        </w:tc>
        <w:tc>
          <w:tcPr>
            <w:tcW w:w="5760" w:type="dxa"/>
            <w:gridSpan w:val="7"/>
            <w:vAlign w:val="center"/>
          </w:tcPr>
          <w:p w:rsidR="001E52A2" w:rsidRPr="00C50B27" w:rsidRDefault="001E52A2" w:rsidP="00015E2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7F032B" w:rsidRDefault="007F032B"/>
    <w:sectPr w:rsidR="007F032B" w:rsidSect="007F0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954" w:rsidRDefault="00522954" w:rsidP="001E52A2">
      <w:r>
        <w:separator/>
      </w:r>
    </w:p>
  </w:endnote>
  <w:endnote w:type="continuationSeparator" w:id="0">
    <w:p w:rsidR="00522954" w:rsidRDefault="00522954" w:rsidP="001E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954" w:rsidRDefault="00522954" w:rsidP="001E52A2">
      <w:r>
        <w:separator/>
      </w:r>
    </w:p>
  </w:footnote>
  <w:footnote w:type="continuationSeparator" w:id="0">
    <w:p w:rsidR="00522954" w:rsidRDefault="00522954" w:rsidP="001E52A2">
      <w:r>
        <w:continuationSeparator/>
      </w:r>
    </w:p>
  </w:footnote>
  <w:footnote w:id="1">
    <w:p w:rsidR="001E52A2" w:rsidRDefault="001E52A2" w:rsidP="001E52A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52A2"/>
    <w:rsid w:val="001E52A2"/>
    <w:rsid w:val="00280ED0"/>
    <w:rsid w:val="00522954"/>
    <w:rsid w:val="005D1EE4"/>
    <w:rsid w:val="007F032B"/>
    <w:rsid w:val="00BE1A9A"/>
    <w:rsid w:val="00C9219A"/>
    <w:rsid w:val="00E125C5"/>
    <w:rsid w:val="00F254CF"/>
    <w:rsid w:val="00F77715"/>
    <w:rsid w:val="00FC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2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E52A2"/>
  </w:style>
  <w:style w:type="character" w:customStyle="1" w:styleId="TextpoznpodarouChar">
    <w:name w:val="Text pozn. pod čarou Char"/>
    <w:basedOn w:val="Standardnpsmoodstavce"/>
    <w:link w:val="Textpoznpodarou"/>
    <w:semiHidden/>
    <w:rsid w:val="001E52A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E52A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2014-01-06T07:15:00Z</dcterms:created>
  <dcterms:modified xsi:type="dcterms:W3CDTF">2014-01-06T07:15:00Z</dcterms:modified>
</cp:coreProperties>
</file>