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1B36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Rostislav Zedek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1B36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Aktivace seniorů v celoročních pobytových službách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1B36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Ilona Kočvarová,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1B36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1B367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1B367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1B367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0E5D80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E5D8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1B367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1B367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1B367B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1B367B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1B367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F06B7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F06B7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F06B7C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F06B7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F06B7C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F06B7C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E527BA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E527B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F06B7C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E527BA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E527B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E527BA" w:rsidRDefault="00B411DB" w:rsidP="008614B3">
            <w:pPr>
              <w:jc w:val="center"/>
              <w:rPr>
                <w:b/>
                <w:sz w:val="22"/>
                <w:szCs w:val="22"/>
              </w:rPr>
            </w:pPr>
            <w:r w:rsidRPr="00E527B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E527BA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E527B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1B367B" w:rsidRDefault="001B367B" w:rsidP="004307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splňuje základní formální náležitosti. Zaměřuje se na aktuální téma související jednoznačně se sociální pedagogikou.</w:t>
            </w:r>
          </w:p>
          <w:p w:rsidR="001B367B" w:rsidRDefault="001B367B" w:rsidP="004307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postupuje od obecných informací ke konkrétním,</w:t>
            </w:r>
            <w:r w:rsidR="00775211">
              <w:rPr>
                <w:sz w:val="22"/>
                <w:szCs w:val="22"/>
              </w:rPr>
              <w:t xml:space="preserve"> avšak obecné informace převažují. Kapitola zaměřená přímo na aktivaci seniorů je dosti stručná a heslovitá. Práce postrádá shrnutí teoretické části, kde by autor upozornil na nejdůležitější informace a navázal plynule na praktickou část. Problém spatřuji také v</w:t>
            </w:r>
            <w:r w:rsidR="00F06B7C">
              <w:rPr>
                <w:sz w:val="22"/>
                <w:szCs w:val="22"/>
              </w:rPr>
              <w:t>e formě</w:t>
            </w:r>
            <w:r w:rsidR="00775211">
              <w:rPr>
                <w:sz w:val="22"/>
                <w:szCs w:val="22"/>
              </w:rPr>
              <w:t> </w:t>
            </w:r>
            <w:r w:rsidR="00F06B7C">
              <w:rPr>
                <w:sz w:val="22"/>
                <w:szCs w:val="22"/>
              </w:rPr>
              <w:t>citací</w:t>
            </w:r>
            <w:r w:rsidR="00775211">
              <w:rPr>
                <w:sz w:val="22"/>
                <w:szCs w:val="22"/>
              </w:rPr>
              <w:t xml:space="preserve"> </w:t>
            </w:r>
            <w:r w:rsidR="00430729">
              <w:rPr>
                <w:sz w:val="22"/>
                <w:szCs w:val="22"/>
              </w:rPr>
              <w:t>zdrojů, které</w:t>
            </w:r>
            <w:r w:rsidR="00775211">
              <w:rPr>
                <w:sz w:val="22"/>
                <w:szCs w:val="22"/>
              </w:rPr>
              <w:t xml:space="preserve"> často nesplňují normu.</w:t>
            </w:r>
          </w:p>
          <w:p w:rsidR="00B411DB" w:rsidRDefault="00775211" w:rsidP="004307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 práce a výzkumné otázky na sebe jednoznačně nenavazují. Hypotézy jsou stanoveny formou otázek, navíc nejsou formulovány čistě. Autor neuvádí, co ho vedlo k formulaci zvolených hypotéz, ani předpokládané závěry, které chce následně ověřovat. </w:t>
            </w:r>
            <w:r w:rsidR="00F06B7C">
              <w:rPr>
                <w:sz w:val="22"/>
                <w:szCs w:val="22"/>
              </w:rPr>
              <w:t>Za pozitivní naopak považuji fakt, že autor vytvořil dotazník na základě konkrétních služeb nabízených ve zkoumaném zařízení. Dotazník však není (alespoň v prezentované podobě) přehledný, což mohlo respondentům činit problémy při vyplňování.</w:t>
            </w:r>
          </w:p>
          <w:p w:rsidR="00B411DB" w:rsidRDefault="00333FF1" w:rsidP="004307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je provedena zcela špatně včetně její grafické prezentace. Za zásadn</w:t>
            </w:r>
            <w:r w:rsidR="00B6453D">
              <w:rPr>
                <w:sz w:val="22"/>
                <w:szCs w:val="22"/>
              </w:rPr>
              <w:t>í chybu považuji realizaci vztahové analýzy, kde došlo ke srovnávání průměrů s využitím testu nezávislosti chí-kvadrát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="00E527BA">
              <w:rPr>
                <w:sz w:val="22"/>
                <w:szCs w:val="22"/>
              </w:rPr>
              <w:t xml:space="preserve"> Na základě takto zpracované analýzy dat nebylo možné dojít k relevantním závěrům.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E527B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Pokuste se</w:t>
            </w:r>
            <w:r w:rsidR="00430729">
              <w:rPr>
                <w:sz w:val="22"/>
                <w:szCs w:val="22"/>
              </w:rPr>
              <w:t xml:space="preserve"> k obhajobě</w:t>
            </w:r>
            <w:r>
              <w:rPr>
                <w:sz w:val="22"/>
                <w:szCs w:val="22"/>
              </w:rPr>
              <w:t xml:space="preserve"> navrhnou</w:t>
            </w:r>
            <w:r w:rsidR="0043072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lepší systém analýzy dat.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E527BA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E527B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527BA">
              <w:rPr>
                <w:sz w:val="22"/>
                <w:szCs w:val="22"/>
              </w:rPr>
              <w:t xml:space="preserve"> 29. 4. 2014</w:t>
            </w:r>
          </w:p>
          <w:p w:rsidR="00E527BA" w:rsidRPr="00C50B27" w:rsidRDefault="00E527BA" w:rsidP="00362AB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34" w:rsidRDefault="000E4634">
      <w:r>
        <w:separator/>
      </w:r>
    </w:p>
  </w:endnote>
  <w:endnote w:type="continuationSeparator" w:id="0">
    <w:p w:rsidR="000E4634" w:rsidRDefault="000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34" w:rsidRDefault="000E4634">
      <w:r>
        <w:separator/>
      </w:r>
    </w:p>
  </w:footnote>
  <w:footnote w:type="continuationSeparator" w:id="0">
    <w:p w:rsidR="000E4634" w:rsidRDefault="000E4634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B"/>
    <w:rsid w:val="000E4634"/>
    <w:rsid w:val="000E5D80"/>
    <w:rsid w:val="001B367B"/>
    <w:rsid w:val="00333FF1"/>
    <w:rsid w:val="00362AB0"/>
    <w:rsid w:val="003F5DA2"/>
    <w:rsid w:val="00430729"/>
    <w:rsid w:val="00512982"/>
    <w:rsid w:val="00526D47"/>
    <w:rsid w:val="0055255D"/>
    <w:rsid w:val="005C219A"/>
    <w:rsid w:val="006847E2"/>
    <w:rsid w:val="006C3831"/>
    <w:rsid w:val="00775211"/>
    <w:rsid w:val="007D615E"/>
    <w:rsid w:val="008614B3"/>
    <w:rsid w:val="009B2248"/>
    <w:rsid w:val="00AF1740"/>
    <w:rsid w:val="00B411DB"/>
    <w:rsid w:val="00B6453D"/>
    <w:rsid w:val="00BA3203"/>
    <w:rsid w:val="00C50B27"/>
    <w:rsid w:val="00CE0A8B"/>
    <w:rsid w:val="00DC1BF5"/>
    <w:rsid w:val="00E527BA"/>
    <w:rsid w:val="00E67C85"/>
    <w:rsid w:val="00E709EA"/>
    <w:rsid w:val="00F06B7C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varova\Downloads\prilohy_7064\Posudky%20UPV%202014\POSUDEK%20OPONENTA%20DIPLOMOV&#201;%20PR&#193;CE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PRÁCE_2012</Template>
  <TotalTime>107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Kočvarová Ilona</dc:creator>
  <cp:lastModifiedBy>Kočvarová Ilona</cp:lastModifiedBy>
  <cp:revision>3</cp:revision>
  <cp:lastPrinted>2014-04-29T14:16:00Z</cp:lastPrinted>
  <dcterms:created xsi:type="dcterms:W3CDTF">2014-04-29T10:57:00Z</dcterms:created>
  <dcterms:modified xsi:type="dcterms:W3CDTF">2014-04-29T14:25:00Z</dcterms:modified>
</cp:coreProperties>
</file>