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ED" w:rsidRPr="00FE1061" w:rsidRDefault="001471ED" w:rsidP="001471ED"/>
    <w:tbl>
      <w:tblPr>
        <w:tblW w:w="505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4"/>
        <w:gridCol w:w="3748"/>
        <w:gridCol w:w="483"/>
        <w:gridCol w:w="363"/>
        <w:gridCol w:w="375"/>
        <w:gridCol w:w="375"/>
        <w:gridCol w:w="351"/>
        <w:gridCol w:w="339"/>
      </w:tblGrid>
      <w:tr w:rsidR="001471ED" w:rsidRPr="00FE1061" w:rsidTr="00AD6B9E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AD6B9E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08" w:type="pct"/>
            <w:gridSpan w:val="7"/>
          </w:tcPr>
          <w:p w:rsidR="001471ED" w:rsidRPr="00FE1061" w:rsidRDefault="0006704B" w:rsidP="00261F9D">
            <w:r>
              <w:rPr>
                <w:sz w:val="22"/>
                <w:szCs w:val="22"/>
              </w:rPr>
              <w:t>Nikola Talašová</w:t>
            </w:r>
          </w:p>
        </w:tc>
      </w:tr>
      <w:tr w:rsidR="001471ED" w:rsidRPr="00FE1061" w:rsidTr="00AD6B9E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08" w:type="pct"/>
            <w:gridSpan w:val="7"/>
          </w:tcPr>
          <w:p w:rsidR="001471ED" w:rsidRPr="00FE1061" w:rsidRDefault="0006704B" w:rsidP="00261F9D">
            <w:r>
              <w:rPr>
                <w:sz w:val="22"/>
                <w:szCs w:val="22"/>
              </w:rPr>
              <w:t>Rozvoj empatie v podmínkách mateřské školy</w:t>
            </w:r>
          </w:p>
        </w:tc>
      </w:tr>
      <w:tr w:rsidR="001471ED" w:rsidRPr="00FE1061" w:rsidTr="00AD6B9E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208" w:type="pct"/>
            <w:gridSpan w:val="7"/>
          </w:tcPr>
          <w:p w:rsidR="001471ED" w:rsidRPr="00FE1061" w:rsidRDefault="0006704B" w:rsidP="00261F9D">
            <w:r>
              <w:rPr>
                <w:sz w:val="22"/>
                <w:szCs w:val="22"/>
              </w:rPr>
              <w:t>Mgr. Hana Navrátilová</w:t>
            </w:r>
          </w:p>
        </w:tc>
      </w:tr>
      <w:tr w:rsidR="001471ED" w:rsidRPr="00FE1061" w:rsidTr="00AD6B9E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08" w:type="pct"/>
            <w:gridSpan w:val="7"/>
          </w:tcPr>
          <w:p w:rsidR="001471ED" w:rsidRPr="00FE1061" w:rsidRDefault="0006704B" w:rsidP="00261F9D">
            <w:r>
              <w:rPr>
                <w:sz w:val="22"/>
                <w:szCs w:val="22"/>
              </w:rPr>
              <w:t>Učitelství pro mateřské školy</w:t>
            </w:r>
          </w:p>
        </w:tc>
      </w:tr>
      <w:tr w:rsidR="001471ED" w:rsidRPr="00FE1061" w:rsidTr="00AD6B9E">
        <w:tc>
          <w:tcPr>
            <w:tcW w:w="1792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08" w:type="pct"/>
            <w:gridSpan w:val="7"/>
          </w:tcPr>
          <w:p w:rsidR="001471ED" w:rsidRPr="00FE1061" w:rsidRDefault="0006704B" w:rsidP="00261F9D">
            <w:r>
              <w:rPr>
                <w:sz w:val="22"/>
                <w:szCs w:val="22"/>
              </w:rPr>
              <w:t>prezenční</w:t>
            </w:r>
          </w:p>
        </w:tc>
      </w:tr>
      <w:tr w:rsidR="001471ED" w:rsidRPr="00FE1061" w:rsidTr="00AD6B9E">
        <w:tc>
          <w:tcPr>
            <w:tcW w:w="1792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08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AD6B9E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1471ED" w:rsidRPr="0006704B" w:rsidRDefault="001471ED" w:rsidP="00261F9D">
            <w:pPr>
              <w:jc w:val="center"/>
              <w:rPr>
                <w:b/>
              </w:rPr>
            </w:pPr>
            <w:r w:rsidRPr="000670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8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8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5000" w:type="pct"/>
            <w:gridSpan w:val="8"/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AD6B9E" w:rsidRDefault="001471ED" w:rsidP="00261F9D">
            <w:pPr>
              <w:jc w:val="center"/>
            </w:pPr>
            <w:r w:rsidRPr="00AD6B9E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8" w:type="pct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471ED" w:rsidRPr="00FE1061" w:rsidTr="00AD6B9E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1471ED" w:rsidRPr="00FE1061" w:rsidTr="00AD6B9E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1471ED" w:rsidRPr="00FE1061" w:rsidRDefault="001471ED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1471ED" w:rsidRPr="00FE1061" w:rsidTr="00AD6B9E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AD6B9E" w:rsidRDefault="001471ED" w:rsidP="00261F9D">
            <w:pPr>
              <w:jc w:val="center"/>
            </w:pPr>
            <w:r w:rsidRPr="00AD6B9E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8973E8" w:rsidRDefault="001471ED" w:rsidP="00261F9D">
            <w:pPr>
              <w:jc w:val="center"/>
              <w:rPr>
                <w:b/>
              </w:rPr>
            </w:pPr>
            <w:r w:rsidRPr="008973E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8973E8" w:rsidRDefault="001471ED" w:rsidP="00261F9D">
            <w:pPr>
              <w:jc w:val="center"/>
              <w:rPr>
                <w:b/>
              </w:rPr>
            </w:pPr>
            <w:r w:rsidRPr="008973E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8973E8" w:rsidRDefault="001471ED" w:rsidP="00261F9D">
            <w:pPr>
              <w:jc w:val="center"/>
            </w:pPr>
            <w:r w:rsidRPr="008973E8">
              <w:rPr>
                <w:sz w:val="22"/>
                <w:szCs w:val="22"/>
              </w:rPr>
              <w:t>B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  <w:vAlign w:val="center"/>
          </w:tcPr>
          <w:p w:rsidR="001471ED" w:rsidRPr="00AD6B9E" w:rsidRDefault="001471ED" w:rsidP="00261F9D">
            <w:pPr>
              <w:jc w:val="center"/>
              <w:rPr>
                <w:b/>
              </w:rPr>
            </w:pPr>
            <w:r w:rsidRPr="00AD6B9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471ED" w:rsidRPr="00FE1061" w:rsidRDefault="0006704B" w:rsidP="00261F9D">
            <w:r>
              <w:rPr>
                <w:sz w:val="22"/>
                <w:szCs w:val="22"/>
              </w:rPr>
              <w:t xml:space="preserve">V teoretické části práce postupuje autorka logicky od emocí a vývoje emoční inteligence k empatii u dětí předškolního věku. Přesto mohly být jednotlivé kapitoly lépe provázány. Samostatné kapitole 3 je věnována pouze jedna strana, chybí zde ukotvení k tématu a především rozvoji u předškolních dětí. </w:t>
            </w:r>
            <w:r w:rsidR="00AD6B9E">
              <w:rPr>
                <w:sz w:val="22"/>
                <w:szCs w:val="22"/>
              </w:rPr>
              <w:t xml:space="preserve">Kladně hodnotím zařazení zpracování strategií k rozvoji empatie, kdy autorka prokazuje, že v navrženém programu vychází z odborné literatury. </w:t>
            </w:r>
            <w:r w:rsidR="008973E8">
              <w:rPr>
                <w:sz w:val="22"/>
                <w:szCs w:val="22"/>
              </w:rPr>
              <w:t xml:space="preserve"> Cíle práce měly lépe zahrnout obě její části.</w:t>
            </w:r>
          </w:p>
          <w:p w:rsidR="001471ED" w:rsidRPr="00FE1061" w:rsidRDefault="008973E8" w:rsidP="00261F9D">
            <w:r>
              <w:rPr>
                <w:sz w:val="22"/>
                <w:szCs w:val="22"/>
              </w:rPr>
              <w:t xml:space="preserve">Navržený program pro rozvoj empatie </w:t>
            </w:r>
            <w:r w:rsidR="00291DB7">
              <w:rPr>
                <w:sz w:val="22"/>
                <w:szCs w:val="22"/>
              </w:rPr>
              <w:t xml:space="preserve">může být vhodnou pomůckou učitele mateřské školy. Výborná je struktura od vstupní aktivity, kde může učitelka pozorovat míru empatie dětí až po závěrečnou hru, která může ukázat, zda program u dětí způsobil žádoucí posun v projevech empatie mezi vrstevníky. Požadavky na evaluaci práce jsou také naplněny, u podrobného popisu průběhu aktivit autorka připojuje vlastní reflexi včetně vzniklých obtíží a dále stručné hodnocení učitelky. Na konci práce je pak připojena ještě celková reflexe autorky a podrobnější hodnocení učitelky, která opakuje, že byla sama překvapena některými projevy „svých dětí“. Autorka prokázala schopnost realizovat a evaluovat </w:t>
            </w:r>
            <w:r w:rsidR="00291DB7">
              <w:rPr>
                <w:sz w:val="22"/>
                <w:szCs w:val="22"/>
              </w:rPr>
              <w:lastRenderedPageBreak/>
              <w:t>potřebný program pro rozvoj dítěte předškolního věku.</w:t>
            </w:r>
            <w:bookmarkStart w:id="0" w:name="_GoBack"/>
            <w:bookmarkEnd w:id="0"/>
          </w:p>
        </w:tc>
      </w:tr>
      <w:tr w:rsidR="001471ED" w:rsidRPr="00FE1061" w:rsidTr="00AD6B9E">
        <w:tc>
          <w:tcPr>
            <w:tcW w:w="5000" w:type="pct"/>
            <w:gridSpan w:val="8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1471ED" w:rsidRPr="00FE1061" w:rsidRDefault="0006704B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Kapitola 1.2 se vztahuje obecně ke všem dětem?</w:t>
            </w:r>
          </w:p>
          <w:p w:rsidR="001471ED" w:rsidRPr="00FE1061" w:rsidRDefault="00291DB7" w:rsidP="001471ED">
            <w:pPr>
              <w:numPr>
                <w:ilvl w:val="0"/>
                <w:numId w:val="1"/>
              </w:numPr>
              <w:ind w:left="426"/>
            </w:pPr>
            <w:r>
              <w:rPr>
                <w:sz w:val="22"/>
                <w:szCs w:val="22"/>
              </w:rPr>
              <w:t>Vidíte nějaké nevýhody/nedostatky v navrženém programu pro jeho realizaci v běžné mateřské škole?</w:t>
            </w:r>
          </w:p>
        </w:tc>
      </w:tr>
      <w:tr w:rsidR="001471ED" w:rsidRPr="00FE1061" w:rsidTr="00AD6B9E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193" w:type="pct"/>
          </w:tcPr>
          <w:p w:rsidR="001471ED" w:rsidRPr="008973E8" w:rsidRDefault="001471ED" w:rsidP="00261F9D">
            <w:pPr>
              <w:jc w:val="center"/>
              <w:rPr>
                <w:b/>
              </w:rPr>
            </w:pPr>
            <w:r w:rsidRPr="008973E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3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7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1471ED" w:rsidRPr="00FE1061" w:rsidTr="00AD6B9E">
        <w:tc>
          <w:tcPr>
            <w:tcW w:w="3788" w:type="pct"/>
            <w:gridSpan w:val="2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Datum:</w:t>
            </w:r>
            <w:r w:rsidR="006E274F">
              <w:rPr>
                <w:sz w:val="22"/>
                <w:szCs w:val="22"/>
              </w:rPr>
              <w:t xml:space="preserve"> </w:t>
            </w:r>
            <w:proofErr w:type="gramStart"/>
            <w:r w:rsidR="006E274F">
              <w:rPr>
                <w:sz w:val="22"/>
                <w:szCs w:val="22"/>
              </w:rPr>
              <w:t>17.5.2015</w:t>
            </w:r>
            <w:proofErr w:type="gramEnd"/>
          </w:p>
        </w:tc>
        <w:tc>
          <w:tcPr>
            <w:tcW w:w="1212" w:type="pct"/>
            <w:gridSpan w:val="6"/>
            <w:vAlign w:val="center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Podpis:</w:t>
            </w:r>
            <w:r w:rsidR="006E274F">
              <w:rPr>
                <w:sz w:val="22"/>
                <w:szCs w:val="22"/>
              </w:rPr>
              <w:t xml:space="preserve"> </w:t>
            </w:r>
            <w:proofErr w:type="spellStart"/>
            <w:r w:rsidR="006E274F">
              <w:rPr>
                <w:sz w:val="22"/>
                <w:szCs w:val="22"/>
              </w:rPr>
              <w:t>H.Navrátilová</w:t>
            </w:r>
            <w:proofErr w:type="spellEnd"/>
            <w:r w:rsidR="006E274F">
              <w:rPr>
                <w:sz w:val="22"/>
                <w:szCs w:val="22"/>
              </w:rPr>
              <w:t>, v.r.</w:t>
            </w:r>
          </w:p>
        </w:tc>
      </w:tr>
    </w:tbl>
    <w:p w:rsidR="00B94260" w:rsidRDefault="00B94260"/>
    <w:sectPr w:rsidR="00B94260" w:rsidSect="00891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08E" w:rsidRDefault="0023308E" w:rsidP="001471ED">
      <w:r>
        <w:separator/>
      </w:r>
    </w:p>
  </w:endnote>
  <w:endnote w:type="continuationSeparator" w:id="0">
    <w:p w:rsidR="0023308E" w:rsidRDefault="0023308E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08E" w:rsidRDefault="0023308E" w:rsidP="001471ED">
      <w:r>
        <w:separator/>
      </w:r>
    </w:p>
  </w:footnote>
  <w:footnote w:type="continuationSeparator" w:id="0">
    <w:p w:rsidR="0023308E" w:rsidRDefault="0023308E" w:rsidP="001471ED">
      <w:r>
        <w:continuationSeparator/>
      </w:r>
    </w:p>
  </w:footnote>
  <w:footnote w:id="1">
    <w:p w:rsidR="001471ED" w:rsidRDefault="001471ED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1ED"/>
    <w:rsid w:val="0006704B"/>
    <w:rsid w:val="00094218"/>
    <w:rsid w:val="001471ED"/>
    <w:rsid w:val="0023308E"/>
    <w:rsid w:val="00291DB7"/>
    <w:rsid w:val="004A0F0E"/>
    <w:rsid w:val="006E274F"/>
    <w:rsid w:val="008915FB"/>
    <w:rsid w:val="008973E8"/>
    <w:rsid w:val="00A2075F"/>
    <w:rsid w:val="00AD6B9E"/>
    <w:rsid w:val="00B94260"/>
    <w:rsid w:val="00D62EE8"/>
    <w:rsid w:val="00EA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zemanova</cp:lastModifiedBy>
  <cp:revision>3</cp:revision>
  <dcterms:created xsi:type="dcterms:W3CDTF">2015-05-18T05:59:00Z</dcterms:created>
  <dcterms:modified xsi:type="dcterms:W3CDTF">2015-05-18T06:00:00Z</dcterms:modified>
</cp:coreProperties>
</file>