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2564CB" w:rsidP="00261F9D">
            <w:r>
              <w:t xml:space="preserve">Nela </w:t>
            </w:r>
            <w:proofErr w:type="spellStart"/>
            <w:r>
              <w:t>Bartolomeu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2564CB" w:rsidP="00261F9D">
            <w:r>
              <w:t>Příprava a ověření aktivit pro program Zdravá mateřská škola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2564CB" w:rsidP="00261F9D">
            <w:r>
              <w:t xml:space="preserve">Kateřina </w:t>
            </w:r>
            <w:proofErr w:type="spellStart"/>
            <w:r>
              <w:t>Kutálková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2564CB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2564CB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2564CB" w:rsidRDefault="002564CB" w:rsidP="002564CB">
            <w:r>
              <w:t>Téma, které si autorka zvolila, je velmi přínosné a aktuální. V celé práci jde poznat velké osobní zaujetí autorky.</w:t>
            </w:r>
          </w:p>
          <w:p w:rsidR="002564CB" w:rsidRDefault="002564CB" w:rsidP="002564CB">
            <w:r>
              <w:t xml:space="preserve">Předložená bakalářská práce je členěna </w:t>
            </w:r>
            <w:r w:rsidR="00056936">
              <w:t xml:space="preserve">standardním způsobem do dvou </w:t>
            </w:r>
            <w:r>
              <w:t>částí. V první části jsou srozumitelně vysvětlena a uspořádaná teoretická východiska, jednotlivé kapitoly jsou vhodně členěny. Autorka prokázala orientaci ve zvolené problematice, na velmi dobré úrovni je její práce s dostupnými odbornými zdroji.</w:t>
            </w:r>
          </w:p>
          <w:p w:rsidR="002564CB" w:rsidRDefault="002564CB" w:rsidP="002564CB">
            <w:r>
              <w:t xml:space="preserve">Ve druhé části </w:t>
            </w:r>
            <w:r w:rsidR="00056936">
              <w:t xml:space="preserve">bakalářské práce teoreticko-aplikačního typu </w:t>
            </w:r>
            <w:r>
              <w:t xml:space="preserve">autorka </w:t>
            </w:r>
            <w:r w:rsidR="00056936">
              <w:t xml:space="preserve">splnila všechny požadavky práce tohoto typu. </w:t>
            </w:r>
            <w:r w:rsidR="00653CB2">
              <w:t xml:space="preserve">Vytyčené cíle autorky považuji za splněné. </w:t>
            </w:r>
            <w:r w:rsidR="00056936">
              <w:t xml:space="preserve">Jak je zmíněno, projekt bude realizován následující školní rok, proto autorka neudělala evaluaci projektu, pouze navrhla budoucí podobu evaluace a zaměřila se na evaluaci tematických částí. </w:t>
            </w:r>
          </w:p>
          <w:p w:rsidR="00A76771" w:rsidRPr="00A76771" w:rsidRDefault="002564CB" w:rsidP="00DA11E6">
            <w:pPr>
              <w:rPr>
                <w:b/>
              </w:rPr>
            </w:pPr>
            <w:r>
              <w:t xml:space="preserve">Celková úroveň bakalářské práce je velmi dobrá, práci hodnotím jako přínosnou a aktuální, proto navrhuji hodnocení </w:t>
            </w:r>
            <w:r w:rsidRPr="005F19CE">
              <w:rPr>
                <w:b/>
              </w:rPr>
              <w:t>výborně A</w:t>
            </w:r>
            <w:r>
              <w:t>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3CB2">
              <w:rPr>
                <w:sz w:val="22"/>
                <w:szCs w:val="22"/>
              </w:rPr>
              <w:t>Máte k dispozici srovnání svého projektu s obdobným programem?</w:t>
            </w:r>
          </w:p>
          <w:p w:rsidR="00002BCA" w:rsidRPr="00A76771" w:rsidRDefault="00A76771" w:rsidP="00261F9D">
            <w:r>
              <w:rPr>
                <w:sz w:val="22"/>
                <w:szCs w:val="22"/>
              </w:rPr>
              <w:lastRenderedPageBreak/>
              <w:t>2.</w:t>
            </w:r>
            <w:r w:rsidR="00653CB2">
              <w:rPr>
                <w:sz w:val="22"/>
                <w:szCs w:val="22"/>
              </w:rPr>
              <w:t xml:space="preserve"> Vyvstaly v rámci tvoření projektu jiná vhodná </w:t>
            </w:r>
            <w:proofErr w:type="gramStart"/>
            <w:r w:rsidR="00653CB2">
              <w:rPr>
                <w:sz w:val="22"/>
                <w:szCs w:val="22"/>
              </w:rPr>
              <w:t>témata</w:t>
            </w:r>
            <w:proofErr w:type="gramEnd"/>
            <w:r w:rsidR="00653CB2">
              <w:rPr>
                <w:sz w:val="22"/>
                <w:szCs w:val="22"/>
              </w:rPr>
              <w:t>, která nejsou v projektu zahrnuta?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2564CB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proofErr w:type="gramStart"/>
            <w:r w:rsidR="002564CB">
              <w:rPr>
                <w:sz w:val="22"/>
                <w:szCs w:val="22"/>
              </w:rPr>
              <w:t>27.5.2016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1C0" w:rsidRDefault="00F121C0" w:rsidP="00002BCA">
      <w:r>
        <w:separator/>
      </w:r>
    </w:p>
  </w:endnote>
  <w:endnote w:type="continuationSeparator" w:id="0">
    <w:p w:rsidR="00F121C0" w:rsidRDefault="00F121C0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1C0" w:rsidRDefault="00F121C0" w:rsidP="00002BCA">
      <w:r>
        <w:separator/>
      </w:r>
    </w:p>
  </w:footnote>
  <w:footnote w:type="continuationSeparator" w:id="0">
    <w:p w:rsidR="00F121C0" w:rsidRDefault="00F121C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56936"/>
    <w:rsid w:val="00076EF2"/>
    <w:rsid w:val="001422CD"/>
    <w:rsid w:val="00143532"/>
    <w:rsid w:val="002564CB"/>
    <w:rsid w:val="00285F37"/>
    <w:rsid w:val="002B06AC"/>
    <w:rsid w:val="002B0BAD"/>
    <w:rsid w:val="002B4EF2"/>
    <w:rsid w:val="00471798"/>
    <w:rsid w:val="00535B93"/>
    <w:rsid w:val="00565ECE"/>
    <w:rsid w:val="00653CB2"/>
    <w:rsid w:val="007D6923"/>
    <w:rsid w:val="00873B38"/>
    <w:rsid w:val="009017E0"/>
    <w:rsid w:val="00910789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Kacenka Kutalkova</cp:lastModifiedBy>
  <cp:revision>2</cp:revision>
  <cp:lastPrinted>2015-05-16T08:18:00Z</cp:lastPrinted>
  <dcterms:created xsi:type="dcterms:W3CDTF">2016-05-27T09:47:00Z</dcterms:created>
  <dcterms:modified xsi:type="dcterms:W3CDTF">2016-05-27T09:47:00Z</dcterms:modified>
</cp:coreProperties>
</file>