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38296B" w:rsidRDefault="0038296B">
            <w:pPr>
              <w:rPr>
                <w:b/>
              </w:rPr>
            </w:pPr>
            <w:r w:rsidRPr="0038296B">
              <w:rPr>
                <w:b/>
              </w:rPr>
              <w:t>SPECIFIKA PÉČE O KLIENTY S DEMENCÍ VE SPECIALIZOVANÝCH ZAŘÍZENÍCH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8296B">
            <w:r>
              <w:t>Petra Stodůlková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8296B">
            <w:r>
              <w:t>PhDr. Anna Krátká,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8296B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8296B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22C19" w:rsidRDefault="00D82AEB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22C19" w:rsidRDefault="00FA4B70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022C19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022C19" w:rsidRDefault="00C61293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022C19" w:rsidRDefault="00F836E5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022C19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22C19" w:rsidRDefault="00F836E5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22C19" w:rsidRDefault="00F836E5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022C19" w:rsidRDefault="00F836E5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22C19" w:rsidRDefault="00F836E5" w:rsidP="003275A4">
            <w:pPr>
              <w:jc w:val="center"/>
              <w:rPr>
                <w:b/>
              </w:rPr>
            </w:pPr>
            <w:r w:rsidRPr="00022C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4506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4506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4506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AF1E7E" w:rsidRPr="003275A4" w:rsidRDefault="00AF1E7E">
            <w:pPr>
              <w:rPr>
                <w:b/>
              </w:rPr>
            </w:pPr>
          </w:p>
          <w:p w:rsidR="000905F0" w:rsidRPr="002C7C0E" w:rsidRDefault="002C7C0E" w:rsidP="005A03E8">
            <w:pPr>
              <w:jc w:val="both"/>
            </w:pPr>
            <w:r>
              <w:t xml:space="preserve">     </w:t>
            </w:r>
            <w:r w:rsidR="005A03E8">
              <w:t xml:space="preserve">Bakalářská práce Petry Stodůlkové je o rozsahu 69 stran a 5 kvalitních příloh, které ji vhodně doplňují. Práce je přehledně členěná na část teoretickou a praktickou, které jsou vyvážené. </w:t>
            </w:r>
            <w:r w:rsidR="005A03E8">
              <w:lastRenderedPageBreak/>
              <w:t xml:space="preserve">Samotné téma koresponduje se studovaným oborem a je společensky velmi potřebné a významné. Autorka v seznamu použité literatury uvádí 34 </w:t>
            </w:r>
            <w:r w:rsidR="00567234">
              <w:t xml:space="preserve">aktuálních </w:t>
            </w:r>
            <w:r w:rsidR="005A03E8">
              <w:t>zdrojů, z toho 2 zahraniční</w:t>
            </w:r>
            <w:r w:rsidR="00567234">
              <w:t xml:space="preserve">, odkazy v textu a citace jsou dle doporučené normy. </w:t>
            </w:r>
            <w:r w:rsidR="00A8525D">
              <w:t>Po jazykové stránce hodnotím práci jako výbornou, ojediněle jsem zaznamenala několik drobných chyb, spíše technického charakteru, které však nemají vliv na celkové hodnocení (Např. název práce – předložka na konci řádku</w:t>
            </w:r>
            <w:r w:rsidR="00AF1E7E">
              <w:t xml:space="preserve">, řádkování v seznamu použité literatury </w:t>
            </w:r>
            <w:r w:rsidR="00A8525D">
              <w:t>…).</w:t>
            </w:r>
          </w:p>
          <w:p w:rsidR="000905F0" w:rsidRDefault="000905F0"/>
          <w:p w:rsidR="00567234" w:rsidRDefault="006E28F2" w:rsidP="001E0A62">
            <w:pPr>
              <w:jc w:val="both"/>
            </w:pPr>
            <w:r>
              <w:t xml:space="preserve">    </w:t>
            </w:r>
            <w:r w:rsidR="00567234">
              <w:t xml:space="preserve">Teoretická část </w:t>
            </w:r>
            <w:r w:rsidR="00022C19">
              <w:t xml:space="preserve">- </w:t>
            </w:r>
            <w:r w:rsidR="00567234">
              <w:t xml:space="preserve">obsahuje 3 </w:t>
            </w:r>
            <w:r w:rsidR="001E0A62">
              <w:t>kapitoly – Demence, Rozdělení demencí a Specifika v péči o klienty s demencí.</w:t>
            </w:r>
            <w:r w:rsidR="00C47009">
              <w:t xml:space="preserve"> Teoretická část dává ucelený pohled </w:t>
            </w:r>
            <w:r w:rsidR="00307099">
              <w:t xml:space="preserve">na </w:t>
            </w:r>
            <w:r w:rsidR="00C47009">
              <w:t>demenc</w:t>
            </w:r>
            <w:r w:rsidR="00307099">
              <w:t>e</w:t>
            </w:r>
            <w:r w:rsidR="00C47009">
              <w:t xml:space="preserve"> a jejich rozdělení</w:t>
            </w:r>
            <w:r w:rsidR="00A8525D">
              <w:t>. Zvláště oceňuji</w:t>
            </w:r>
            <w:r w:rsidR="00C47009">
              <w:t xml:space="preserve"> třetí kapitol</w:t>
            </w:r>
            <w:r w:rsidR="00A8525D">
              <w:t>u</w:t>
            </w:r>
            <w:r w:rsidR="00C47009">
              <w:t>, která je zaměřena hodně prakticky, na práci sestry, především specifika v péči o osoby s</w:t>
            </w:r>
            <w:r w:rsidR="00A8525D">
              <w:t> demencí. Pro úplnost by mohla být zmíněna vyhláška č. 55/2011 Sb. o činnostech zdravotnických pracovníků a jiných odborných pracovníků (§ 4)</w:t>
            </w:r>
            <w:r w:rsidR="00747742">
              <w:t xml:space="preserve"> a spoluprác</w:t>
            </w:r>
            <w:r w:rsidR="00307099">
              <w:t>e</w:t>
            </w:r>
            <w:r w:rsidR="00747742">
              <w:t xml:space="preserve"> s rodinou</w:t>
            </w:r>
            <w:r w:rsidR="00C47009">
              <w:t>.</w:t>
            </w:r>
            <w:r w:rsidR="00455E53">
              <w:t xml:space="preserve"> </w:t>
            </w:r>
          </w:p>
          <w:p w:rsidR="006E28F2" w:rsidRPr="00AF1E7E" w:rsidRDefault="006E28F2" w:rsidP="001E0A62">
            <w:pPr>
              <w:jc w:val="both"/>
            </w:pPr>
            <w:r>
              <w:t xml:space="preserve">    Praktická část – přehledně zpracovaná metodika, jasně stanovená kritéria pro výběr respondentů, vhodně zvolená </w:t>
            </w:r>
            <w:r w:rsidR="00307099">
              <w:t>technika</w:t>
            </w:r>
            <w:r>
              <w:t xml:space="preserve"> nestandardizovaného</w:t>
            </w:r>
            <w:r w:rsidR="00ED0675">
              <w:t xml:space="preserve"> </w:t>
            </w:r>
            <w:proofErr w:type="spellStart"/>
            <w:r w:rsidR="00ED0675">
              <w:t>polostrukturovaného</w:t>
            </w:r>
            <w:proofErr w:type="spellEnd"/>
            <w:r w:rsidR="00ED0675">
              <w:t xml:space="preserve"> rozhovoru. Přehledné je také zpracování výsledků</w:t>
            </w:r>
            <w:r w:rsidR="00921120">
              <w:t xml:space="preserve"> </w:t>
            </w:r>
            <w:r w:rsidR="00022C19">
              <w:t>a diskuse, kde autorka porovnává jednotlivá zařízení, kde probíhal výzkum a naplňuje tak cíle.  Schází vyjádření, zda byly zpracovány práce na takové (příbuzné) téma a pokud ano, jsou-li výsledky srovnatelné.</w:t>
            </w:r>
            <w:r w:rsidR="00AF1E7E">
              <w:t xml:space="preserve"> Kladně hodnotím zařazení kapitoly </w:t>
            </w:r>
            <w:r w:rsidR="00AF1E7E">
              <w:br/>
            </w:r>
            <w:r w:rsidR="00AF1E7E" w:rsidRPr="00AF1E7E">
              <w:rPr>
                <w:i/>
              </w:rPr>
              <w:t>7 Doporučení pro praxi</w:t>
            </w:r>
            <w:r w:rsidR="00AF1E7E">
              <w:rPr>
                <w:i/>
              </w:rPr>
              <w:t>.</w:t>
            </w:r>
            <w:r w:rsidR="00AF1E7E">
              <w:t xml:space="preserve"> Závěr plní svůj účel. </w:t>
            </w:r>
          </w:p>
          <w:p w:rsidR="00022C19" w:rsidRDefault="00022C19" w:rsidP="001E0A62">
            <w:pPr>
              <w:jc w:val="both"/>
            </w:pPr>
          </w:p>
          <w:p w:rsidR="00022C19" w:rsidRDefault="00022C19" w:rsidP="001E0A62">
            <w:pPr>
              <w:jc w:val="both"/>
            </w:pPr>
            <w:r>
              <w:t xml:space="preserve">    Předkládaná bakalářská práce je na výborné úrovni, pečlivě zpracovaná, přes výše uvedené nedostatky doporučuji k obhajobě.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022C19" w:rsidRPr="00AF1E7E" w:rsidRDefault="00AF1E7E" w:rsidP="00E7033B">
            <w:r w:rsidRPr="00AF1E7E">
              <w:t>Bez doplňujících otázek.</w:t>
            </w:r>
          </w:p>
          <w:p w:rsidR="00022C19" w:rsidRPr="003275A4" w:rsidRDefault="00022C19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4506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4506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4506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4506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4506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4506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4506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4506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22C19">
              <w:t xml:space="preserve"> 27. 5. 2016</w:t>
            </w:r>
          </w:p>
        </w:tc>
        <w:tc>
          <w:tcPr>
            <w:tcW w:w="4342" w:type="dxa"/>
            <w:gridSpan w:val="12"/>
          </w:tcPr>
          <w:p w:rsidR="00AC785B" w:rsidRDefault="00AC785B" w:rsidP="00E45064">
            <w:r>
              <w:t>Podpis:</w:t>
            </w:r>
            <w:r w:rsidR="00022C19">
              <w:t xml:space="preserve"> </w:t>
            </w:r>
            <w:r w:rsidR="00E45064">
              <w:t>v. r. Anna Krátk</w:t>
            </w:r>
            <w:bookmarkStart w:id="0" w:name="_GoBack"/>
            <w:bookmarkEnd w:id="0"/>
            <w:r w:rsidR="00E45064">
              <w:t>á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3A" w:rsidRDefault="00CF543A" w:rsidP="004C45B6">
      <w:pPr>
        <w:spacing w:after="0" w:line="240" w:lineRule="auto"/>
      </w:pPr>
      <w:r>
        <w:separator/>
      </w:r>
    </w:p>
  </w:endnote>
  <w:end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3A" w:rsidRDefault="00CF543A" w:rsidP="004C45B6">
      <w:pPr>
        <w:spacing w:after="0" w:line="240" w:lineRule="auto"/>
      </w:pPr>
      <w:r>
        <w:separator/>
      </w:r>
    </w:p>
  </w:footnote>
  <w:foot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C19"/>
    <w:rsid w:val="000811B8"/>
    <w:rsid w:val="000905F0"/>
    <w:rsid w:val="00127679"/>
    <w:rsid w:val="00153ABC"/>
    <w:rsid w:val="001B148C"/>
    <w:rsid w:val="001B3F1A"/>
    <w:rsid w:val="001E0A62"/>
    <w:rsid w:val="002A558B"/>
    <w:rsid w:val="002A7C9E"/>
    <w:rsid w:val="002C7C0E"/>
    <w:rsid w:val="00307099"/>
    <w:rsid w:val="003275A4"/>
    <w:rsid w:val="0038296B"/>
    <w:rsid w:val="00384E64"/>
    <w:rsid w:val="003925D9"/>
    <w:rsid w:val="00451FDE"/>
    <w:rsid w:val="00455E53"/>
    <w:rsid w:val="0047082F"/>
    <w:rsid w:val="004732B8"/>
    <w:rsid w:val="00487D8D"/>
    <w:rsid w:val="0049401C"/>
    <w:rsid w:val="004C45B6"/>
    <w:rsid w:val="004E2622"/>
    <w:rsid w:val="004F49FC"/>
    <w:rsid w:val="00514F4A"/>
    <w:rsid w:val="00567234"/>
    <w:rsid w:val="00585D57"/>
    <w:rsid w:val="005A03E8"/>
    <w:rsid w:val="005E4C88"/>
    <w:rsid w:val="00667FD5"/>
    <w:rsid w:val="006A56E6"/>
    <w:rsid w:val="006C5753"/>
    <w:rsid w:val="006E28F2"/>
    <w:rsid w:val="00705FA6"/>
    <w:rsid w:val="00707EBF"/>
    <w:rsid w:val="0071495A"/>
    <w:rsid w:val="00730C11"/>
    <w:rsid w:val="00747742"/>
    <w:rsid w:val="007E3184"/>
    <w:rsid w:val="008C7228"/>
    <w:rsid w:val="00900ED0"/>
    <w:rsid w:val="00907FC1"/>
    <w:rsid w:val="00921120"/>
    <w:rsid w:val="009246F8"/>
    <w:rsid w:val="0098046A"/>
    <w:rsid w:val="0099475D"/>
    <w:rsid w:val="00996161"/>
    <w:rsid w:val="00A119A8"/>
    <w:rsid w:val="00A32848"/>
    <w:rsid w:val="00A8525D"/>
    <w:rsid w:val="00AA5265"/>
    <w:rsid w:val="00AB7549"/>
    <w:rsid w:val="00AC785B"/>
    <w:rsid w:val="00AF1E7E"/>
    <w:rsid w:val="00BA74A0"/>
    <w:rsid w:val="00BC2A63"/>
    <w:rsid w:val="00BF794A"/>
    <w:rsid w:val="00C0316C"/>
    <w:rsid w:val="00C47009"/>
    <w:rsid w:val="00C61293"/>
    <w:rsid w:val="00C64D29"/>
    <w:rsid w:val="00C7770F"/>
    <w:rsid w:val="00CB0AEA"/>
    <w:rsid w:val="00CF543A"/>
    <w:rsid w:val="00D64B8B"/>
    <w:rsid w:val="00D82AEB"/>
    <w:rsid w:val="00DB6634"/>
    <w:rsid w:val="00E02672"/>
    <w:rsid w:val="00E45064"/>
    <w:rsid w:val="00E85D9E"/>
    <w:rsid w:val="00ED0675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5</cp:revision>
  <cp:lastPrinted>2016-05-27T10:06:00Z</cp:lastPrinted>
  <dcterms:created xsi:type="dcterms:W3CDTF">2016-05-27T10:03:00Z</dcterms:created>
  <dcterms:modified xsi:type="dcterms:W3CDTF">2016-05-27T10:08:00Z</dcterms:modified>
</cp:coreProperties>
</file>