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90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374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158"/>
                        </w:tblGrid>
                        <w:tr w:rsidR="00BE1841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BE1841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BE1841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Ošetřovatelská péče o pacienta po operaci štítné žlázy </w:t>
                              </w: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7F3AE4">
                          <w:rPr>
                            <w:rFonts w:asciiTheme="minorHAnsi" w:hAnsi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BE1841">
            <w:r>
              <w:t>Lucie Viliš</w:t>
            </w:r>
            <w:r w:rsidR="007F3AE4">
              <w:t>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945C01">
            <w:r>
              <w:t>Prof.MUDr.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F3AE4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AC034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AC034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F8104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C3BA3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1C3BA3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1C3BA3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 w:rsidP="004416F8">
            <w:r>
              <w:t xml:space="preserve">Studentka si pro bakalářskou práci zvolila </w:t>
            </w:r>
            <w:r w:rsidR="007F3AE4">
              <w:t>téma,</w:t>
            </w:r>
            <w:r w:rsidR="00C0661D">
              <w:t xml:space="preserve"> z chirurgického pohledu zajímavé, i když se </w:t>
            </w:r>
            <w:r w:rsidR="00C0661D">
              <w:lastRenderedPageBreak/>
              <w:t>nejedná o jednu z nejčastějších plánovaných chirurgických operací, jak popisuje</w:t>
            </w:r>
            <w:r w:rsidR="004416F8">
              <w:t>,</w:t>
            </w:r>
            <w:r w:rsidR="00C0661D">
              <w:t xml:space="preserve"> hned v úvodě.  Bohužel se v práci nezkuje ani moderním trendu operací štítných žláz, které se operují nyní i na ORL odděleních a nezmiňuje se o nutnosti předoperačního vyšetření, indikace a dlouhodobého sledování klienta endokrinologem, z toho vyplývá, že operace štítných žláz jsou pouze v návaznosti na dobrou a funkční endokrinologii. Bohužel se vůbec nezmiňuje o mod</w:t>
            </w:r>
            <w:r w:rsidR="003D7785">
              <w:t>e</w:t>
            </w:r>
            <w:r w:rsidR="00C0661D">
              <w:t>rní</w:t>
            </w:r>
            <w:r w:rsidR="003D7785">
              <w:t>m</w:t>
            </w:r>
            <w:r w:rsidR="00C0661D">
              <w:t xml:space="preserve"> trendu subkutánních operací štítné žlázy a také na str.</w:t>
            </w:r>
            <w:r w:rsidR="003D7785">
              <w:t xml:space="preserve"> </w:t>
            </w:r>
            <w:r w:rsidR="00C0661D">
              <w:t>18 symbol STE</w:t>
            </w:r>
            <w:r w:rsidR="003D7785">
              <w:t>,</w:t>
            </w:r>
            <w:r w:rsidR="00C0661D">
              <w:t xml:space="preserve"> není subtotální lobektomie ale subtotální thyreoidektomie</w:t>
            </w:r>
            <w:r>
              <w:t xml:space="preserve">. Práce je </w:t>
            </w:r>
            <w:r w:rsidR="00C0661D">
              <w:t xml:space="preserve">vcelku </w:t>
            </w:r>
            <w:r w:rsidR="007F3AE4">
              <w:t xml:space="preserve">zajímavá, ale </w:t>
            </w:r>
            <w:r w:rsidR="00C0661D">
              <w:t xml:space="preserve">není specifická právě k operacím štítné žlázy, kde se minimálně vyjadřuje o závažnosti poškození vratného nervu, forenzních následcích takového poškození a vůbec samotná problematika perioperační péče je </w:t>
            </w:r>
            <w:r w:rsidR="003D7785">
              <w:t xml:space="preserve">psaná </w:t>
            </w:r>
            <w:r w:rsidR="00C0661D">
              <w:t>příliš ze široka a znovu nevystihuje dopodrobna úskalí operací štítné žlázy, kde i na klinikách to operuje minimální počet c</w:t>
            </w:r>
            <w:r w:rsidR="003D7785">
              <w:t>h</w:t>
            </w:r>
            <w:r w:rsidR="00C0661D">
              <w:t>irurgů nemluvě o chirurgi</w:t>
            </w:r>
            <w:r w:rsidR="003D7785">
              <w:t>ckých oddě</w:t>
            </w:r>
            <w:r w:rsidR="00C0661D">
              <w:t>leních. Při nadměrném rozsahu stran</w:t>
            </w:r>
            <w:r w:rsidR="003D7785">
              <w:t xml:space="preserve"> by mělo být i zmíněn celosvětový trend ústupu těchto operací právě z relativně častých komplikací, které mají soudní dohru /např. USA/.  Jinak je práce čtivá, psaná srozumitelně. </w:t>
            </w:r>
            <w:r w:rsidR="00251925">
              <w:t xml:space="preserve">Práce </w:t>
            </w:r>
            <w:r w:rsidR="004D435B">
              <w:t xml:space="preserve">přesahuje rámec rozsahu bakalářské práce, s přílohou, kde již nejsou označeny stránky, </w:t>
            </w:r>
            <w:r w:rsidR="003D7785">
              <w:t>má</w:t>
            </w:r>
            <w:r w:rsidR="004D435B">
              <w:t xml:space="preserve"> 1</w:t>
            </w:r>
            <w:r w:rsidR="003D7785">
              <w:t>29</w:t>
            </w:r>
            <w:r w:rsidR="004D435B">
              <w:t xml:space="preserve"> stran.</w:t>
            </w:r>
            <w:r w:rsidR="00491891">
              <w:t xml:space="preserve"> </w:t>
            </w:r>
            <w:r w:rsidR="00D35A75">
              <w:t>T</w:t>
            </w:r>
            <w:r w:rsidR="003003EA">
              <w:t>eo</w:t>
            </w:r>
            <w:r w:rsidR="003D7785">
              <w:t>retická část je zpracována na 35</w:t>
            </w:r>
            <w:r w:rsidR="003003EA">
              <w:t xml:space="preserve"> stránkách</w:t>
            </w:r>
            <w:r w:rsidR="003D7785">
              <w:t xml:space="preserve"> po praktické části, pouze krátká diskuze, kde mělo být rozepsáno vše, co jsem hodnotil výše, nejen s porov</w:t>
            </w:r>
            <w:r w:rsidR="004416F8">
              <w:t>ná</w:t>
            </w:r>
            <w:r w:rsidR="003D7785">
              <w:t>ním jedné práce</w:t>
            </w:r>
            <w:r w:rsidR="004416F8">
              <w:t xml:space="preserve"> /Hauserová, 2015/.</w:t>
            </w:r>
            <w:r w:rsidR="007B4107">
              <w:t xml:space="preserve"> Práci </w:t>
            </w:r>
            <w:r w:rsidR="003003EA">
              <w:t xml:space="preserve">však </w:t>
            </w:r>
            <w:r w:rsidR="007B4107">
              <w:t xml:space="preserve">hodnotím pozitivně, </w:t>
            </w:r>
            <w:r w:rsidR="003003EA">
              <w:t xml:space="preserve">studentka vynaložila značné úsilí při zpracování </w:t>
            </w:r>
            <w:r w:rsidR="004416F8">
              <w:t>náročné problematiky, kde je malý počet klientů. Také nejsem zcela jist, zda termín katamnéza / zjištění, nebo zjišťování stavu a vývoje pacienta po léčbě v určitém časovém odstupu/ je vhodný, když se nepopisuje předcházející léčba</w:t>
            </w:r>
            <w:r w:rsidR="004416F8">
              <w:rPr>
                <w:sz w:val="24"/>
              </w:rPr>
              <w:t xml:space="preserve">, </w:t>
            </w:r>
            <w:r w:rsidR="004416F8" w:rsidRPr="004416F8">
              <w:t xml:space="preserve">např. </w:t>
            </w:r>
            <w:r w:rsidR="004416F8">
              <w:t>endokrinologická</w:t>
            </w:r>
            <w:r w:rsidR="004416F8" w:rsidRPr="004416F8">
              <w:t>,</w:t>
            </w:r>
            <w:r w:rsidR="004416F8">
              <w:rPr>
                <w:sz w:val="24"/>
              </w:rPr>
              <w:t xml:space="preserve"> </w:t>
            </w:r>
            <w:r w:rsidR="004416F8">
              <w:t>nebo jiná, ale pac. je přija</w:t>
            </w:r>
            <w:r w:rsidR="004416F8" w:rsidRPr="004416F8">
              <w:t>tý na chirurgii k operaci.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AC034E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AC034E">
              <w:rPr>
                <w:b/>
              </w:rPr>
              <w:t xml:space="preserve">Proč se ještě někde operuje štítná žláza v lokálním znecitlivění a proč v polosedě </w:t>
            </w:r>
            <w:r w:rsidR="00F8104E">
              <w:rPr>
                <w:b/>
              </w:rPr>
              <w:t>?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C3BA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C3BA3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754018"/>
                  </w:sdtPr>
                  <w:sdtEndPr/>
                  <w:sdtContent>
                    <w:r w:rsidR="00AC034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C3BA3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AC034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C3BA3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C3BA3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C3BA3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C3BA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C3BA3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B4107">
              <w:t xml:space="preserve"> 20.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A3" w:rsidRDefault="001C3BA3" w:rsidP="004C45B6">
      <w:pPr>
        <w:spacing w:after="0" w:line="240" w:lineRule="auto"/>
      </w:pPr>
      <w:r>
        <w:separator/>
      </w:r>
    </w:p>
  </w:endnote>
  <w:endnote w:type="continuationSeparator" w:id="0">
    <w:p w:rsidR="001C3BA3" w:rsidRDefault="001C3BA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A3" w:rsidRDefault="001C3BA3" w:rsidP="004C45B6">
      <w:pPr>
        <w:spacing w:after="0" w:line="240" w:lineRule="auto"/>
      </w:pPr>
      <w:r>
        <w:separator/>
      </w:r>
    </w:p>
  </w:footnote>
  <w:footnote w:type="continuationSeparator" w:id="0">
    <w:p w:rsidR="001C3BA3" w:rsidRDefault="001C3BA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277FB"/>
    <w:rsid w:val="000811B8"/>
    <w:rsid w:val="000905F0"/>
    <w:rsid w:val="00127679"/>
    <w:rsid w:val="00153ABC"/>
    <w:rsid w:val="001B148C"/>
    <w:rsid w:val="001B3F1A"/>
    <w:rsid w:val="001C3BA3"/>
    <w:rsid w:val="001D0368"/>
    <w:rsid w:val="00251925"/>
    <w:rsid w:val="002A558B"/>
    <w:rsid w:val="002A7C9E"/>
    <w:rsid w:val="003003EA"/>
    <w:rsid w:val="003275A4"/>
    <w:rsid w:val="00350669"/>
    <w:rsid w:val="00384E64"/>
    <w:rsid w:val="003925D9"/>
    <w:rsid w:val="003D7785"/>
    <w:rsid w:val="004416F8"/>
    <w:rsid w:val="00451FDE"/>
    <w:rsid w:val="00454AF2"/>
    <w:rsid w:val="0047082F"/>
    <w:rsid w:val="004732B8"/>
    <w:rsid w:val="00487D8D"/>
    <w:rsid w:val="00491891"/>
    <w:rsid w:val="004C45B6"/>
    <w:rsid w:val="004D435B"/>
    <w:rsid w:val="004E2622"/>
    <w:rsid w:val="004F49FC"/>
    <w:rsid w:val="00514F4A"/>
    <w:rsid w:val="00585D57"/>
    <w:rsid w:val="005E4C88"/>
    <w:rsid w:val="0063066C"/>
    <w:rsid w:val="00667FD5"/>
    <w:rsid w:val="006C5753"/>
    <w:rsid w:val="00705FA6"/>
    <w:rsid w:val="00707EBF"/>
    <w:rsid w:val="0071495A"/>
    <w:rsid w:val="00730C11"/>
    <w:rsid w:val="007B4107"/>
    <w:rsid w:val="007F3AE4"/>
    <w:rsid w:val="00900ED0"/>
    <w:rsid w:val="009246F8"/>
    <w:rsid w:val="00945C01"/>
    <w:rsid w:val="0098046A"/>
    <w:rsid w:val="0099058E"/>
    <w:rsid w:val="0099475D"/>
    <w:rsid w:val="00996161"/>
    <w:rsid w:val="00A32848"/>
    <w:rsid w:val="00A55452"/>
    <w:rsid w:val="00AB7549"/>
    <w:rsid w:val="00AC034E"/>
    <w:rsid w:val="00AC785B"/>
    <w:rsid w:val="00B22FF9"/>
    <w:rsid w:val="00B230E0"/>
    <w:rsid w:val="00B36873"/>
    <w:rsid w:val="00B7793B"/>
    <w:rsid w:val="00B835DD"/>
    <w:rsid w:val="00BA74A0"/>
    <w:rsid w:val="00BC2A63"/>
    <w:rsid w:val="00BE1841"/>
    <w:rsid w:val="00BF794A"/>
    <w:rsid w:val="00C0316C"/>
    <w:rsid w:val="00C0661D"/>
    <w:rsid w:val="00C13B6F"/>
    <w:rsid w:val="00C61293"/>
    <w:rsid w:val="00C64D29"/>
    <w:rsid w:val="00CA0451"/>
    <w:rsid w:val="00CB0AEA"/>
    <w:rsid w:val="00CF543A"/>
    <w:rsid w:val="00D35A75"/>
    <w:rsid w:val="00D64B8B"/>
    <w:rsid w:val="00D82AEB"/>
    <w:rsid w:val="00DB6634"/>
    <w:rsid w:val="00DF4EF2"/>
    <w:rsid w:val="00E7062B"/>
    <w:rsid w:val="00E85D9E"/>
    <w:rsid w:val="00E967A3"/>
    <w:rsid w:val="00EE5A4B"/>
    <w:rsid w:val="00F702A8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F14DF-DF43-45F3-A562-B7765723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2016-05-27T09:02:00Z</dcterms:created>
  <dcterms:modified xsi:type="dcterms:W3CDTF">2016-05-27T09:02:00Z</dcterms:modified>
</cp:coreProperties>
</file>