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C2A9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43C4">
        <w:rPr>
          <w:b/>
          <w:i/>
          <w:sz w:val="22"/>
          <w:szCs w:val="22"/>
        </w:rPr>
        <w:t xml:space="preserve">Beáta </w:t>
      </w:r>
      <w:proofErr w:type="spellStart"/>
      <w:r w:rsidR="001E43C4">
        <w:rPr>
          <w:b/>
          <w:i/>
          <w:sz w:val="22"/>
          <w:szCs w:val="22"/>
        </w:rPr>
        <w:t>Gažová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C2A97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017A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01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E43C4">
        <w:rPr>
          <w:b/>
          <w:i/>
          <w:sz w:val="22"/>
          <w:szCs w:val="22"/>
        </w:rPr>
        <w:t>Analýza kalkulačního systému ve společnosti PROXY,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b/>
                <w:snapToGrid w:val="0"/>
                <w:color w:val="000000"/>
              </w:rPr>
            </w:r>
            <w:r w:rsidR="006C2A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b/>
                <w:snapToGrid w:val="0"/>
                <w:color w:val="000000"/>
              </w:rPr>
            </w:r>
            <w:r w:rsidR="006C2A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b/>
                <w:snapToGrid w:val="0"/>
                <w:color w:val="000000"/>
              </w:rPr>
            </w:r>
            <w:r w:rsidR="006C2A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b/>
                <w:snapToGrid w:val="0"/>
                <w:color w:val="000000"/>
              </w:rPr>
            </w:r>
            <w:r w:rsidR="006C2A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b/>
                <w:snapToGrid w:val="0"/>
                <w:color w:val="000000"/>
              </w:rPr>
            </w:r>
            <w:r w:rsidR="006C2A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b/>
                <w:snapToGrid w:val="0"/>
                <w:color w:val="000000"/>
              </w:rPr>
            </w:r>
            <w:r w:rsidR="006C2A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2A97">
              <w:rPr>
                <w:snapToGrid w:val="0"/>
                <w:color w:val="000000"/>
              </w:rPr>
            </w:r>
            <w:r w:rsidR="006C2A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15C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15C6D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15C6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15C6D">
        <w:rPr>
          <w:i/>
          <w:noProof/>
        </w:rPr>
        <w:t>Práce je zpracována dle zásad a autorce se podařilo splnit vytyčené cíle. práce obsahuje návrh jednoduché přirážkové kalkulace v podmínkách neexistence efektivního kalkulčního nástroje. Práce je zpracována velmi precizně a obsahuje veškeré nezbytné součásti.</w:t>
      </w:r>
    </w:p>
    <w:p w:rsidR="00115C6D" w:rsidRDefault="00115C6D" w:rsidP="003E1491">
      <w:pPr>
        <w:rPr>
          <w:i/>
          <w:noProof/>
        </w:rPr>
      </w:pPr>
    </w:p>
    <w:p w:rsidR="00DC219A" w:rsidRPr="00AE58C9" w:rsidRDefault="00115C6D" w:rsidP="003E1491">
      <w:pPr>
        <w:rPr>
          <w:i/>
        </w:rPr>
      </w:pPr>
      <w:r>
        <w:rPr>
          <w:i/>
          <w:noProof/>
        </w:rPr>
        <w:t>1. Jaká hlavní rizika vyplývají z používaní současného systému kalkulace.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C2A97">
        <w:rPr>
          <w:i/>
        </w:rPr>
      </w:r>
      <w:r w:rsidR="006C2A9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C2A97">
        <w:rPr>
          <w:i/>
        </w:rPr>
      </w:r>
      <w:r w:rsidR="006C2A9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15C6D">
        <w:rPr>
          <w:i/>
          <w:noProof/>
        </w:rPr>
        <w:t>30.5.2016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C2A9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97" w:rsidRDefault="006C2A97">
      <w:r>
        <w:separator/>
      </w:r>
    </w:p>
  </w:endnote>
  <w:endnote w:type="continuationSeparator" w:id="0">
    <w:p w:rsidR="006C2A97" w:rsidRDefault="006C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97" w:rsidRDefault="006C2A97">
      <w:r>
        <w:separator/>
      </w:r>
    </w:p>
  </w:footnote>
  <w:footnote w:type="continuationSeparator" w:id="0">
    <w:p w:rsidR="006C2A97" w:rsidRDefault="006C2A9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15C6D"/>
    <w:rsid w:val="001208CB"/>
    <w:rsid w:val="00132C42"/>
    <w:rsid w:val="00146B0A"/>
    <w:rsid w:val="0016014F"/>
    <w:rsid w:val="001A6F9F"/>
    <w:rsid w:val="001B5B85"/>
    <w:rsid w:val="001E0D4A"/>
    <w:rsid w:val="001E43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2A9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5E5D"/>
    <w:rsid w:val="0097017A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39E0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33D13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C8740FC-1219-44E5-AA48-78566875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2016-05-31T13:15:00Z</dcterms:created>
  <dcterms:modified xsi:type="dcterms:W3CDTF">2016-05-31T13:15:00Z</dcterms:modified>
</cp:coreProperties>
</file>