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15705A" w:rsidRDefault="0015705A" w:rsidP="00FC3526">
            <w:pPr>
              <w:rPr>
                <w:b/>
              </w:rPr>
            </w:pPr>
            <w:r w:rsidRPr="0015705A">
              <w:rPr>
                <w:b/>
              </w:rPr>
              <w:t>A</w:t>
            </w:r>
            <w:r w:rsidR="00FC3526">
              <w:rPr>
                <w:b/>
              </w:rPr>
              <w:t>LZHEIMEROVA CHOROBA POHLEDEM ZDRAVOTNÍKŮ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15705A">
            <w:r>
              <w:t xml:space="preserve">Michaela </w:t>
            </w:r>
            <w:proofErr w:type="spellStart"/>
            <w:r>
              <w:t>Podsedníčková</w:t>
            </w:r>
            <w:proofErr w:type="spellEnd"/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15705A">
            <w:r>
              <w:t>PhDr. Anna Krátká,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15705A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15705A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9A5DFA" w:rsidRDefault="005D079A" w:rsidP="007F31CD">
            <w:pPr>
              <w:jc w:val="center"/>
              <w:rPr>
                <w:b/>
              </w:rPr>
            </w:pPr>
            <w:r w:rsidRPr="009A5DFA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9A5DFA" w:rsidRDefault="005D079A" w:rsidP="007F31CD">
            <w:pPr>
              <w:jc w:val="center"/>
              <w:rPr>
                <w:b/>
              </w:rPr>
            </w:pPr>
            <w:r w:rsidRPr="009A5DFA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9A5DFA" w:rsidRDefault="005D079A" w:rsidP="007F31CD">
            <w:pPr>
              <w:jc w:val="center"/>
              <w:rPr>
                <w:b/>
              </w:rPr>
            </w:pPr>
            <w:r w:rsidRPr="009A5DFA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9A5DFA" w:rsidRDefault="005D079A" w:rsidP="007F31CD">
            <w:pPr>
              <w:jc w:val="center"/>
              <w:rPr>
                <w:b/>
              </w:rPr>
            </w:pPr>
            <w:r w:rsidRPr="009A5DFA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9A5DFA" w:rsidRDefault="005D079A" w:rsidP="007F31CD">
            <w:pPr>
              <w:jc w:val="center"/>
              <w:rPr>
                <w:b/>
              </w:rPr>
            </w:pPr>
            <w:r w:rsidRPr="009A5DFA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9A5DFA" w:rsidRDefault="005D079A" w:rsidP="007F31CD">
            <w:pPr>
              <w:jc w:val="center"/>
              <w:rPr>
                <w:b/>
              </w:rPr>
            </w:pPr>
            <w:r w:rsidRPr="009A5DFA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9A5DFA" w:rsidRDefault="005D079A" w:rsidP="007F31CD">
            <w:pPr>
              <w:jc w:val="center"/>
              <w:rPr>
                <w:b/>
              </w:rPr>
            </w:pPr>
            <w:r w:rsidRPr="009A5DFA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9A5DFA" w:rsidRDefault="005D079A" w:rsidP="007F31CD">
            <w:pPr>
              <w:jc w:val="center"/>
              <w:rPr>
                <w:b/>
              </w:rPr>
            </w:pPr>
            <w:r w:rsidRPr="009A5DFA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9A5DFA" w:rsidRDefault="005D079A" w:rsidP="007F31CD">
            <w:pPr>
              <w:jc w:val="center"/>
              <w:rPr>
                <w:b/>
              </w:rPr>
            </w:pPr>
            <w:r w:rsidRPr="009A5DFA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9A5DFA" w:rsidRDefault="005D079A" w:rsidP="007F31CD">
            <w:pPr>
              <w:jc w:val="center"/>
              <w:rPr>
                <w:b/>
              </w:rPr>
            </w:pPr>
            <w:r w:rsidRPr="009A5DFA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9A5DFA" w:rsidRDefault="005D079A" w:rsidP="007F31CD">
            <w:pPr>
              <w:jc w:val="center"/>
              <w:rPr>
                <w:b/>
              </w:rPr>
            </w:pPr>
            <w:r w:rsidRPr="009A5DFA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9A5DFA" w:rsidRDefault="005D079A" w:rsidP="007F31CD">
            <w:pPr>
              <w:jc w:val="center"/>
              <w:rPr>
                <w:b/>
              </w:rPr>
            </w:pPr>
            <w:r w:rsidRPr="009A5DFA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9A5DFA" w:rsidRDefault="005D079A" w:rsidP="007F31CD">
            <w:pPr>
              <w:jc w:val="center"/>
              <w:rPr>
                <w:b/>
              </w:rPr>
            </w:pPr>
            <w:r w:rsidRPr="009A5DFA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9A5DFA" w:rsidRDefault="005D079A" w:rsidP="007F31CD">
            <w:pPr>
              <w:jc w:val="center"/>
              <w:rPr>
                <w:b/>
              </w:rPr>
            </w:pPr>
            <w:r w:rsidRPr="009A5DFA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FC3526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</w:sdtPr>
              <w:sdtEndPr/>
              <w:sdtContent>
                <w:sdt>
                  <w:sdtPr>
                    <w:id w:val="23072759"/>
                  </w:sdtPr>
                  <w:sdtEndPr/>
                  <w:sdtContent>
                    <w:r w:rsidR="00FC3526">
                      <w:rPr>
                        <w:rFonts w:ascii="MS Gothic" w:eastAsia="MS Gothic" w:hAnsi="MS Gothic" w:hint="eastAsia"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Pr="00FC3526"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Pr="009A5DFA" w:rsidRDefault="005D079A" w:rsidP="007F31CD">
            <w:pPr>
              <w:jc w:val="center"/>
              <w:rPr>
                <w:b/>
              </w:rPr>
            </w:pPr>
            <w:r w:rsidRPr="009A5DFA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9A5DFA" w:rsidRDefault="005D079A" w:rsidP="007F31CD">
            <w:pPr>
              <w:jc w:val="center"/>
              <w:rPr>
                <w:b/>
              </w:rPr>
            </w:pPr>
            <w:r w:rsidRPr="009A5DFA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9A5DFA" w:rsidRDefault="005D079A" w:rsidP="007F31CD">
            <w:pPr>
              <w:jc w:val="center"/>
              <w:rPr>
                <w:b/>
              </w:rPr>
            </w:pPr>
            <w:r w:rsidRPr="009A5DFA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9A5DFA" w:rsidRDefault="005D079A" w:rsidP="007F31CD">
            <w:pPr>
              <w:jc w:val="center"/>
              <w:rPr>
                <w:b/>
              </w:rPr>
            </w:pPr>
            <w:r w:rsidRPr="009A5DFA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9A5DFA" w:rsidRDefault="005D079A" w:rsidP="007F31CD">
            <w:pPr>
              <w:jc w:val="center"/>
              <w:rPr>
                <w:b/>
              </w:rPr>
            </w:pPr>
            <w:r w:rsidRPr="009A5DFA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0160EE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Pr="00024F11" w:rsidRDefault="000160EE" w:rsidP="00846175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471676166"/>
              </w:sdtPr>
              <w:sdtEndPr>
                <w:rPr>
                  <w:b w:val="0"/>
                </w:rPr>
              </w:sdtEndPr>
              <w:sdtContent>
                <w:sdt>
                  <w:sdtPr>
                    <w:id w:val="-847241218"/>
                  </w:sdtPr>
                  <w:sdtEndPr/>
                  <w:sdtContent>
                    <w:r w:rsidR="00846175" w:rsidRPr="00846175">
                      <w:rPr>
                        <w:rFonts w:ascii="MS Gothic" w:eastAsia="MS Gothic" w:hAnsi="MS Gothic" w:hint="eastAsia"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5D079A" w:rsidRPr="00846175">
              <w:t>překročen</w:t>
            </w:r>
          </w:p>
        </w:tc>
        <w:tc>
          <w:tcPr>
            <w:tcW w:w="1436" w:type="dxa"/>
            <w:gridSpan w:val="4"/>
          </w:tcPr>
          <w:p w:rsidR="005D079A" w:rsidRDefault="000160EE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4D114B" w:rsidRDefault="0015705A" w:rsidP="006B089E">
            <w:pPr>
              <w:jc w:val="both"/>
              <w:rPr>
                <w:rFonts w:cs="Times New Roman"/>
              </w:rPr>
            </w:pPr>
            <w:r>
              <w:rPr>
                <w:b/>
              </w:rPr>
              <w:t xml:space="preserve">   </w:t>
            </w:r>
            <w:r>
              <w:t>Bakalářská práce je o rozsahu 80 stran textu a 16 příloh včetně manuálu, které text vhodně doplňují.</w:t>
            </w:r>
            <w:r w:rsidR="006B089E">
              <w:t xml:space="preserve"> Práce je členěna na část teoretickou a praktickou, tyto jsou vyvážené. Autorka pracuje s 28 zdroji, které považuji s ohledem na téma za relevantní.</w:t>
            </w:r>
            <w:r w:rsidR="00794423">
              <w:t xml:space="preserve"> </w:t>
            </w:r>
            <w:r w:rsidR="002846BC">
              <w:t>Práce</w:t>
            </w:r>
            <w:r w:rsidR="00093876">
              <w:t xml:space="preserve"> má dobrou jazykovou úroveň</w:t>
            </w:r>
            <w:r w:rsidR="002846BC">
              <w:t xml:space="preserve">. </w:t>
            </w:r>
            <w:r w:rsidR="00794423">
              <w:t xml:space="preserve">Zvolené téma považuji za vysoce aktuální a s ohledem na vzrůstající počet nemocných </w:t>
            </w:r>
            <w:r w:rsidR="00794423" w:rsidRPr="00F636EA">
              <w:rPr>
                <w:rFonts w:cs="Times New Roman"/>
              </w:rPr>
              <w:t xml:space="preserve">Alzheimerovou </w:t>
            </w:r>
            <w:r w:rsidR="00794423" w:rsidRPr="00F636EA">
              <w:rPr>
                <w:rFonts w:cs="Times New Roman"/>
              </w:rPr>
              <w:lastRenderedPageBreak/>
              <w:t xml:space="preserve">demencí </w:t>
            </w:r>
            <w:r w:rsidR="00814B71">
              <w:rPr>
                <w:rFonts w:cs="Times New Roman"/>
              </w:rPr>
              <w:t xml:space="preserve">také </w:t>
            </w:r>
            <w:r w:rsidR="00794423" w:rsidRPr="00F636EA">
              <w:rPr>
                <w:rFonts w:cs="Times New Roman"/>
              </w:rPr>
              <w:t>za celospolečensky velmi významné.</w:t>
            </w:r>
            <w:r w:rsidR="007A15A4" w:rsidRPr="00F636EA">
              <w:rPr>
                <w:rFonts w:cs="Times New Roman"/>
              </w:rPr>
              <w:t xml:space="preserve"> Autorka byla samostatná, dodržovala časový harmonogram, takže se vyhnula časovým stresům při dokončení práce, a to se pozitivně odrazilo </w:t>
            </w:r>
            <w:r w:rsidR="000160EE">
              <w:rPr>
                <w:rFonts w:cs="Times New Roman"/>
              </w:rPr>
              <w:br/>
            </w:r>
            <w:r w:rsidR="007A15A4" w:rsidRPr="00F636EA">
              <w:rPr>
                <w:rFonts w:cs="Times New Roman"/>
              </w:rPr>
              <w:t>na jejím výsledku.</w:t>
            </w:r>
          </w:p>
          <w:p w:rsidR="000160EE" w:rsidRPr="00F636EA" w:rsidRDefault="000160EE" w:rsidP="006B089E">
            <w:pPr>
              <w:jc w:val="both"/>
              <w:rPr>
                <w:rFonts w:cs="Times New Roman"/>
              </w:rPr>
            </w:pPr>
            <w:bookmarkStart w:id="0" w:name="_GoBack"/>
            <w:bookmarkEnd w:id="0"/>
          </w:p>
          <w:p w:rsidR="002846BC" w:rsidRPr="00F636EA" w:rsidRDefault="00B1269C" w:rsidP="006B089E">
            <w:pPr>
              <w:jc w:val="both"/>
              <w:rPr>
                <w:rFonts w:cs="Times New Roman"/>
              </w:rPr>
            </w:pPr>
            <w:r w:rsidRPr="00F636EA">
              <w:rPr>
                <w:rFonts w:cs="Times New Roman"/>
              </w:rPr>
              <w:t xml:space="preserve">   </w:t>
            </w:r>
            <w:r w:rsidR="00B71F30" w:rsidRPr="00F636EA">
              <w:rPr>
                <w:rFonts w:cs="Times New Roman"/>
              </w:rPr>
              <w:t xml:space="preserve">Teoretická část je členěna do 3 kapitol - 1. kapitolu </w:t>
            </w:r>
            <w:r w:rsidR="00B71F30" w:rsidRPr="00F636EA">
              <w:rPr>
                <w:rFonts w:cs="Times New Roman"/>
                <w:i/>
              </w:rPr>
              <w:t>Stáří, stárnutí</w:t>
            </w:r>
            <w:r w:rsidR="00B71F30" w:rsidRPr="00F636EA">
              <w:rPr>
                <w:rFonts w:cs="Times New Roman"/>
              </w:rPr>
              <w:t xml:space="preserve">, 2. kapitolu </w:t>
            </w:r>
            <w:r w:rsidR="00B71F30" w:rsidRPr="00F636EA">
              <w:rPr>
                <w:rFonts w:cs="Times New Roman"/>
                <w:i/>
              </w:rPr>
              <w:t xml:space="preserve">Demence </w:t>
            </w:r>
            <w:r w:rsidR="00B71F30" w:rsidRPr="00F636EA">
              <w:rPr>
                <w:rFonts w:cs="Times New Roman"/>
              </w:rPr>
              <w:t xml:space="preserve">a stěžejní </w:t>
            </w:r>
            <w:r w:rsidR="00814B71">
              <w:rPr>
                <w:rFonts w:cs="Times New Roman"/>
              </w:rPr>
              <w:br/>
            </w:r>
            <w:r w:rsidR="00B71F30" w:rsidRPr="00F636EA">
              <w:rPr>
                <w:rFonts w:cs="Times New Roman"/>
              </w:rPr>
              <w:t xml:space="preserve">3. kapitolu </w:t>
            </w:r>
            <w:r w:rsidR="00B71F30" w:rsidRPr="00F636EA">
              <w:rPr>
                <w:rFonts w:cs="Times New Roman"/>
                <w:i/>
              </w:rPr>
              <w:t>Péče o nemocného s Alzheimerovou chorobou</w:t>
            </w:r>
            <w:r w:rsidR="00B71F30" w:rsidRPr="00F636EA">
              <w:rPr>
                <w:rFonts w:cs="Times New Roman"/>
              </w:rPr>
              <w:t xml:space="preserve">. Teoretická část dává solidní podklad </w:t>
            </w:r>
            <w:r w:rsidR="00814B71">
              <w:rPr>
                <w:rFonts w:cs="Times New Roman"/>
              </w:rPr>
              <w:br/>
            </w:r>
            <w:r w:rsidR="00B71F30" w:rsidRPr="00F636EA">
              <w:rPr>
                <w:rFonts w:cs="Times New Roman"/>
              </w:rPr>
              <w:t xml:space="preserve">pro zpracování praktické části. Zvláště zdařilá je 3. kapitola, ve které se autorka zaměřuje na specifika ošetřovatelské péče </w:t>
            </w:r>
            <w:r w:rsidR="000C7779" w:rsidRPr="00F636EA">
              <w:rPr>
                <w:rFonts w:cs="Times New Roman"/>
              </w:rPr>
              <w:t xml:space="preserve">s akcentem na vhodnou komunikaci a uspokojování potřeb osob </w:t>
            </w:r>
            <w:r w:rsidR="00814B71">
              <w:rPr>
                <w:rFonts w:cs="Times New Roman"/>
              </w:rPr>
              <w:br/>
            </w:r>
            <w:r w:rsidR="000C7779" w:rsidRPr="00F636EA">
              <w:rPr>
                <w:rFonts w:cs="Times New Roman"/>
              </w:rPr>
              <w:t xml:space="preserve">s Alzheimerovou demencí. </w:t>
            </w:r>
          </w:p>
          <w:p w:rsidR="00D7230A" w:rsidRPr="00F636EA" w:rsidRDefault="002846BC" w:rsidP="00D7230A">
            <w:pPr>
              <w:jc w:val="both"/>
              <w:rPr>
                <w:rFonts w:cs="Times New Roman"/>
              </w:rPr>
            </w:pPr>
            <w:r w:rsidRPr="00F636EA">
              <w:rPr>
                <w:rFonts w:cs="Times New Roman"/>
              </w:rPr>
              <w:t xml:space="preserve">   V praktické části zjišťuje autorka pohled zdravotníků na Alzheimerovu chorobu, a to jejich informovanost o specificích ošetřovatelské péče a jejich zájmu se v této oblasti vzdělávat. Cíle jsou dobře formulovány. </w:t>
            </w:r>
            <w:r w:rsidR="002D780C" w:rsidRPr="00F636EA">
              <w:rPr>
                <w:rFonts w:cs="Times New Roman"/>
              </w:rPr>
              <w:t>Výzkumnou technikou je originálně sestavený dotazník, respondenty zdravotničtí pracovníci podílející se na péči o cílovou skupinu nemocných, jejich finální počet byl 86.</w:t>
            </w:r>
            <w:r w:rsidR="00D7230A" w:rsidRPr="00F636EA">
              <w:rPr>
                <w:rFonts w:cs="Times New Roman"/>
              </w:rPr>
              <w:t xml:space="preserve"> Těžiště praktické části práce spočívá v tabelárním, grafickém a slovním v</w:t>
            </w:r>
            <w:r w:rsidR="00814B71">
              <w:rPr>
                <w:rFonts w:cs="Times New Roman"/>
              </w:rPr>
              <w:t>yhodnocení získaných odpovědí. T</w:t>
            </w:r>
            <w:r w:rsidR="00D7230A" w:rsidRPr="00F636EA">
              <w:rPr>
                <w:rFonts w:cs="Times New Roman"/>
              </w:rPr>
              <w:t>ato část je přehledná, celkově kvalitně zpracovaná.</w:t>
            </w:r>
            <w:r w:rsidR="00780294" w:rsidRPr="00F636EA">
              <w:rPr>
                <w:rFonts w:cs="Times New Roman"/>
              </w:rPr>
              <w:t xml:space="preserve"> </w:t>
            </w:r>
            <w:r w:rsidR="00D85D1E" w:rsidRPr="00F636EA">
              <w:rPr>
                <w:rFonts w:cs="Times New Roman"/>
              </w:rPr>
              <w:t xml:space="preserve">Diskuse je poměrně rozsáhlá, </w:t>
            </w:r>
            <w:r w:rsidR="00024F11" w:rsidRPr="00F636EA">
              <w:rPr>
                <w:rFonts w:cs="Times New Roman"/>
              </w:rPr>
              <w:t xml:space="preserve">čímž byl mírně překročen počet doporučených stran, </w:t>
            </w:r>
            <w:r w:rsidR="00D85D1E" w:rsidRPr="00F636EA">
              <w:rPr>
                <w:rFonts w:cs="Times New Roman"/>
              </w:rPr>
              <w:t xml:space="preserve">vztahuje se ke stanoveným cílům. Kladně hodnotím krátký souhrn zjištěných informací vždy na konci prezentace k jednotlivým cílům. </w:t>
            </w:r>
            <w:r w:rsidR="006D10B6" w:rsidRPr="00F636EA">
              <w:rPr>
                <w:rFonts w:cs="Times New Roman"/>
              </w:rPr>
              <w:t xml:space="preserve">Samostatnou podkapitolu věnuje autorka srovnání svých výsledků s podobně zaměřenou prací. V závěru odkazuje autorka </w:t>
            </w:r>
            <w:r w:rsidR="00024F11" w:rsidRPr="00F636EA">
              <w:rPr>
                <w:rFonts w:cs="Times New Roman"/>
              </w:rPr>
              <w:br/>
            </w:r>
            <w:r w:rsidR="006D10B6" w:rsidRPr="00F636EA">
              <w:rPr>
                <w:rFonts w:cs="Times New Roman"/>
              </w:rPr>
              <w:t xml:space="preserve">na materiál, který by měl usnadnit zdravotníkům orientaci v </w:t>
            </w:r>
            <w:r w:rsidR="00325536" w:rsidRPr="00F636EA">
              <w:rPr>
                <w:rFonts w:cs="Times New Roman"/>
              </w:rPr>
              <w:t>péči o klienty s</w:t>
            </w:r>
            <w:r w:rsidR="006D10B6" w:rsidRPr="00F636EA">
              <w:rPr>
                <w:rFonts w:cs="Times New Roman"/>
              </w:rPr>
              <w:t xml:space="preserve"> Alzheimerov</w:t>
            </w:r>
            <w:r w:rsidR="00325536" w:rsidRPr="00F636EA">
              <w:rPr>
                <w:rFonts w:cs="Times New Roman"/>
              </w:rPr>
              <w:t>ou chorobou.</w:t>
            </w:r>
            <w:r w:rsidR="006D10B6" w:rsidRPr="00F636EA">
              <w:rPr>
                <w:rFonts w:cs="Times New Roman"/>
              </w:rPr>
              <w:t xml:space="preserve">   </w:t>
            </w:r>
          </w:p>
          <w:p w:rsidR="00D7230A" w:rsidRPr="00F636EA" w:rsidRDefault="00D7230A" w:rsidP="00D7230A">
            <w:pPr>
              <w:ind w:left="708"/>
              <w:jc w:val="both"/>
              <w:rPr>
                <w:rFonts w:cs="Times New Roman"/>
              </w:rPr>
            </w:pPr>
          </w:p>
          <w:p w:rsidR="00B1269C" w:rsidRPr="00F636EA" w:rsidRDefault="00325536" w:rsidP="006B089E">
            <w:pPr>
              <w:jc w:val="both"/>
              <w:rPr>
                <w:rFonts w:cs="Times New Roman"/>
              </w:rPr>
            </w:pPr>
            <w:r w:rsidRPr="00F636EA">
              <w:rPr>
                <w:rFonts w:cs="Times New Roman"/>
              </w:rPr>
              <w:t xml:space="preserve">   Cíle práce byly splněny, práce odpovídá požadavkům na bakalářskou práci</w:t>
            </w:r>
            <w:r w:rsidR="00BF1F1C" w:rsidRPr="00F636EA">
              <w:rPr>
                <w:rFonts w:cs="Times New Roman"/>
              </w:rPr>
              <w:t>. Práci</w:t>
            </w:r>
            <w:r w:rsidRPr="00F636EA">
              <w:rPr>
                <w:rFonts w:cs="Times New Roman"/>
              </w:rPr>
              <w:t xml:space="preserve"> považuji jako velmi zdařilou a přínosnou pro praxi</w:t>
            </w:r>
            <w:r w:rsidR="00BF1F1C" w:rsidRPr="00F636EA">
              <w:rPr>
                <w:rFonts w:cs="Times New Roman"/>
              </w:rPr>
              <w:t xml:space="preserve">, především </w:t>
            </w:r>
            <w:r w:rsidR="00814B71">
              <w:rPr>
                <w:rFonts w:cs="Times New Roman"/>
              </w:rPr>
              <w:t>s ohledem na</w:t>
            </w:r>
            <w:r w:rsidR="00BF1F1C" w:rsidRPr="00F636EA">
              <w:rPr>
                <w:rFonts w:cs="Times New Roman"/>
              </w:rPr>
              <w:t xml:space="preserve"> materiál, který vznikl</w:t>
            </w:r>
            <w:r w:rsidRPr="00F636EA">
              <w:rPr>
                <w:rFonts w:cs="Times New Roman"/>
              </w:rPr>
              <w:t>.</w:t>
            </w:r>
            <w:r w:rsidR="00BF1F1C" w:rsidRPr="00F636EA">
              <w:rPr>
                <w:rFonts w:cs="Times New Roman"/>
              </w:rPr>
              <w:t xml:space="preserve"> Autorka dobře</w:t>
            </w:r>
            <w:r w:rsidRPr="00F636EA">
              <w:rPr>
                <w:rFonts w:cs="Times New Roman"/>
              </w:rPr>
              <w:t xml:space="preserve"> </w:t>
            </w:r>
            <w:r w:rsidR="00BF1F1C" w:rsidRPr="00F636EA">
              <w:rPr>
                <w:rFonts w:cs="Times New Roman"/>
              </w:rPr>
              <w:t xml:space="preserve">zareagovala na potřeby praxe. </w:t>
            </w:r>
            <w:r w:rsidRPr="00F636EA">
              <w:rPr>
                <w:rFonts w:cs="Times New Roman"/>
              </w:rPr>
              <w:t>Doporučuji k obhajobě.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4D114B" w:rsidRPr="00BF1F1C" w:rsidRDefault="00BF1F1C" w:rsidP="004D114B">
            <w:r w:rsidRPr="00BF1F1C">
              <w:t xml:space="preserve">Jak bude využitý informační materiál, který </w:t>
            </w:r>
            <w:r>
              <w:t xml:space="preserve">v rámci bakalářské práce </w:t>
            </w:r>
            <w:r w:rsidRPr="00BF1F1C">
              <w:t>vznikl?</w:t>
            </w:r>
          </w:p>
          <w:p w:rsidR="00BF1F1C" w:rsidRPr="007F31CD" w:rsidRDefault="00BF1F1C" w:rsidP="004D114B">
            <w:pPr>
              <w:rPr>
                <w:b/>
              </w:rPr>
            </w:pP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846175" w:rsidRDefault="000160EE" w:rsidP="00846175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sdt>
                      <w:sdtPr>
                        <w:id w:val="1770117113"/>
                      </w:sdtPr>
                      <w:sdtEndPr/>
                      <w:sdtContent>
                        <w:r w:rsidR="00846175">
                          <w:rPr>
                            <w:rFonts w:ascii="MS Gothic" w:eastAsia="MS Gothic" w:hAnsi="MS Gothic" w:hint="eastAsia"/>
                            <w:lang w:val="en-US"/>
                          </w:rPr>
                          <w:t>☒</w:t>
                        </w:r>
                      </w:sdtContent>
                    </w:sdt>
                  </w:sdtContent>
                </w:sdt>
              </w:sdtContent>
            </w:sdt>
            <w:r w:rsidR="002A558B" w:rsidRPr="00846175">
              <w:t xml:space="preserve"> </w:t>
            </w:r>
            <w:r w:rsidR="002A558B" w:rsidRPr="00846175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846175" w:rsidRDefault="00487D8D" w:rsidP="00487D8D">
            <w:pPr>
              <w:rPr>
                <w:sz w:val="20"/>
                <w:szCs w:val="20"/>
              </w:rPr>
            </w:pPr>
            <w:r w:rsidRPr="00846175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846175" w:rsidRDefault="000160EE" w:rsidP="00846175">
            <w:sdt>
              <w:sdtPr>
                <w:id w:val="1969246049"/>
              </w:sdtPr>
              <w:sdtEndPr/>
              <w:sdtContent>
                <w:sdt>
                  <w:sdtPr>
                    <w:id w:val="2147006979"/>
                  </w:sdtPr>
                  <w:sdtEndPr/>
                  <w:sdtContent>
                    <w:r w:rsidR="00846175">
                      <w:rPr>
                        <w:rFonts w:ascii="MS Gothic" w:eastAsia="MS Gothic" w:hAnsi="MS Gothic" w:hint="eastAsia"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274165" w:rsidRPr="00846175">
              <w:t xml:space="preserve"> </w:t>
            </w:r>
            <w:r w:rsidR="00487D8D" w:rsidRPr="00846175"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0160EE" w:rsidP="00487D8D">
            <w:sdt>
              <w:sdtPr>
                <w:id w:val="135824407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0160EE" w:rsidP="00487D8D">
            <w:sdt>
              <w:sdtPr>
                <w:id w:val="121878464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0160EE" w:rsidP="00487D8D">
            <w:sdt>
              <w:sdtPr>
                <w:id w:val="10706246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0160EE" w:rsidP="00487D8D">
            <w:sdt>
              <w:sdtPr>
                <w:id w:val="-1441995190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0160EE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0160EE" w:rsidP="005D079A">
            <w:sdt>
              <w:sdtPr>
                <w:id w:val="65403143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0160EE" w:rsidP="00846175">
            <w:sdt>
              <w:sdtPr>
                <w:id w:val="-996884122"/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id w:val="391083623"/>
              </w:sdtPr>
              <w:sdtEndPr/>
              <w:sdtContent>
                <w:sdt>
                  <w:sdtPr>
                    <w:id w:val="2146149513"/>
                  </w:sdtPr>
                  <w:sdtEndPr/>
                  <w:sdtContent>
                    <w:r w:rsidR="00846175">
                      <w:rPr>
                        <w:rFonts w:ascii="MS Gothic" w:eastAsia="MS Gothic" w:hAnsi="MS Gothic" w:hint="eastAsia"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FC3526">
              <w:t xml:space="preserve"> 20. 5. 2016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FC3526">
              <w:t xml:space="preserve"> v. r. Anna Krátká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D91" w:rsidRDefault="00EA3D91" w:rsidP="004C45B6">
      <w:pPr>
        <w:spacing w:after="0" w:line="240" w:lineRule="auto"/>
      </w:pPr>
      <w:r>
        <w:separator/>
      </w:r>
    </w:p>
  </w:endnote>
  <w:endnote w:type="continuationSeparator" w:id="0">
    <w:p w:rsidR="00EA3D91" w:rsidRDefault="00EA3D91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D91" w:rsidRDefault="00EA3D91" w:rsidP="004C45B6">
      <w:pPr>
        <w:spacing w:after="0" w:line="240" w:lineRule="auto"/>
      </w:pPr>
      <w:r>
        <w:separator/>
      </w:r>
    </w:p>
  </w:footnote>
  <w:footnote w:type="continuationSeparator" w:id="0">
    <w:p w:rsidR="00EA3D91" w:rsidRDefault="00EA3D91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60EE"/>
    <w:rsid w:val="000222E9"/>
    <w:rsid w:val="00024F11"/>
    <w:rsid w:val="00046D6B"/>
    <w:rsid w:val="000773FE"/>
    <w:rsid w:val="000905F0"/>
    <w:rsid w:val="00093876"/>
    <w:rsid w:val="000C7779"/>
    <w:rsid w:val="00127679"/>
    <w:rsid w:val="00153ABC"/>
    <w:rsid w:val="0015705A"/>
    <w:rsid w:val="001A266D"/>
    <w:rsid w:val="001B148C"/>
    <w:rsid w:val="00217918"/>
    <w:rsid w:val="002202E0"/>
    <w:rsid w:val="00243DC6"/>
    <w:rsid w:val="00252416"/>
    <w:rsid w:val="00274165"/>
    <w:rsid w:val="002846BC"/>
    <w:rsid w:val="002A558B"/>
    <w:rsid w:val="002A7C9E"/>
    <w:rsid w:val="002D780C"/>
    <w:rsid w:val="00325536"/>
    <w:rsid w:val="00332E2B"/>
    <w:rsid w:val="00384E64"/>
    <w:rsid w:val="003925D9"/>
    <w:rsid w:val="003F784E"/>
    <w:rsid w:val="00446C50"/>
    <w:rsid w:val="00451FDE"/>
    <w:rsid w:val="0045764B"/>
    <w:rsid w:val="0047082F"/>
    <w:rsid w:val="004732B8"/>
    <w:rsid w:val="00487D8D"/>
    <w:rsid w:val="004C45B6"/>
    <w:rsid w:val="004D114B"/>
    <w:rsid w:val="004E2622"/>
    <w:rsid w:val="004F7FBA"/>
    <w:rsid w:val="00514F4A"/>
    <w:rsid w:val="005200F9"/>
    <w:rsid w:val="00523649"/>
    <w:rsid w:val="00560FD5"/>
    <w:rsid w:val="005752A0"/>
    <w:rsid w:val="00585D57"/>
    <w:rsid w:val="00596070"/>
    <w:rsid w:val="005D079A"/>
    <w:rsid w:val="005E0759"/>
    <w:rsid w:val="005E4C88"/>
    <w:rsid w:val="00623491"/>
    <w:rsid w:val="00631D5B"/>
    <w:rsid w:val="00657971"/>
    <w:rsid w:val="00667FD5"/>
    <w:rsid w:val="006B089E"/>
    <w:rsid w:val="006D10B6"/>
    <w:rsid w:val="006E1571"/>
    <w:rsid w:val="00705FA6"/>
    <w:rsid w:val="00707EBF"/>
    <w:rsid w:val="0071495A"/>
    <w:rsid w:val="00730C11"/>
    <w:rsid w:val="00754F8C"/>
    <w:rsid w:val="00780294"/>
    <w:rsid w:val="00794423"/>
    <w:rsid w:val="007A15A4"/>
    <w:rsid w:val="007C750D"/>
    <w:rsid w:val="007F31CD"/>
    <w:rsid w:val="00814B71"/>
    <w:rsid w:val="00846175"/>
    <w:rsid w:val="008B1EF1"/>
    <w:rsid w:val="009246F8"/>
    <w:rsid w:val="0098046A"/>
    <w:rsid w:val="00983ED9"/>
    <w:rsid w:val="0099475D"/>
    <w:rsid w:val="00996161"/>
    <w:rsid w:val="009A5DFA"/>
    <w:rsid w:val="00A023FB"/>
    <w:rsid w:val="00A32848"/>
    <w:rsid w:val="00AB7549"/>
    <w:rsid w:val="00AC57F8"/>
    <w:rsid w:val="00AC785B"/>
    <w:rsid w:val="00AE58D3"/>
    <w:rsid w:val="00B1269C"/>
    <w:rsid w:val="00B24FCA"/>
    <w:rsid w:val="00B71F30"/>
    <w:rsid w:val="00BA74A0"/>
    <w:rsid w:val="00BC2A63"/>
    <w:rsid w:val="00BF1F1C"/>
    <w:rsid w:val="00BF794A"/>
    <w:rsid w:val="00C0316C"/>
    <w:rsid w:val="00C5404F"/>
    <w:rsid w:val="00C61293"/>
    <w:rsid w:val="00C64D29"/>
    <w:rsid w:val="00CF2CBE"/>
    <w:rsid w:val="00D64B8B"/>
    <w:rsid w:val="00D7230A"/>
    <w:rsid w:val="00D82AEB"/>
    <w:rsid w:val="00D85D1E"/>
    <w:rsid w:val="00DB6634"/>
    <w:rsid w:val="00EA3D91"/>
    <w:rsid w:val="00F4142C"/>
    <w:rsid w:val="00F636EA"/>
    <w:rsid w:val="00F836E5"/>
    <w:rsid w:val="00F97920"/>
    <w:rsid w:val="00FA4B70"/>
    <w:rsid w:val="00FC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Kratka_</cp:lastModifiedBy>
  <cp:revision>2</cp:revision>
  <cp:lastPrinted>2015-09-02T08:37:00Z</cp:lastPrinted>
  <dcterms:created xsi:type="dcterms:W3CDTF">2016-05-27T10:14:00Z</dcterms:created>
  <dcterms:modified xsi:type="dcterms:W3CDTF">2016-05-27T10:14:00Z</dcterms:modified>
</cp:coreProperties>
</file>