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243B2B">
            <w:r>
              <w:t>Znalosti studentů oboru Všeobecná sestra v péči o pacienta s tracheostomií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C115A" w:rsidP="001C115A">
            <w:r>
              <w:t xml:space="preserve"> </w:t>
            </w:r>
            <w:r w:rsidR="00243B2B">
              <w:t xml:space="preserve">Kryštof </w:t>
            </w:r>
            <w:r>
              <w:t>Himmer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C115A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243B2B" w:rsidP="00243B2B">
            <w:r>
              <w:t>V</w:t>
            </w:r>
            <w:r w:rsidR="001C115A">
              <w:t>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43B2B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243B2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243B2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8F180D" w:rsidP="007259D8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  <w:r w:rsidR="007259D8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8F180D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243B2B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8F180D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8F180D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243B2B" w:rsidRDefault="00243B2B">
            <w:r>
              <w:t xml:space="preserve">  Předložená práce se zabývá velmi aktuálním tématem, kdy porovnává informovanost a znalosti studentů oboru Všeobecná sestra na VŠ a studentů téhož oboru studujících na VOŠZ v závažné oblasti péče o nemocné s tracheostomií. Práce je čtivá, výskyt překlepů nepřesahuje běžný </w:t>
            </w:r>
            <w:r>
              <w:lastRenderedPageBreak/>
              <w:t xml:space="preserve">standard, ale poněkud více vadí překlepy v názvu práce či </w:t>
            </w:r>
            <w:r w:rsidR="002A312D">
              <w:t xml:space="preserve">v </w:t>
            </w:r>
            <w:r>
              <w:t xml:space="preserve">názvech kapitol. </w:t>
            </w:r>
            <w:r w:rsidR="002A312D">
              <w:t>Lze občas nalézt i některé gramatické nedokonalosti (např. strana 10 – Oto-rhino-laryngologie), což však není nijak znepokojivé. Za poměrně závažný nedostatek lze považovat skutečnost, že autorem popsané metody provedení tracheostomie na straně 12 jsou i čtenáři, který má v této problematice určité znalosti</w:t>
            </w:r>
            <w:r w:rsidR="0061263D">
              <w:t>,</w:t>
            </w:r>
            <w:r w:rsidR="002A312D">
              <w:t xml:space="preserve"> nesrozumitelné</w:t>
            </w:r>
            <w:r w:rsidR="007259D8">
              <w:t xml:space="preserve"> (není zcela zřejmé, kdy je prováděna punkce a kdy incize).</w:t>
            </w:r>
            <w:r w:rsidR="002A312D">
              <w:t xml:space="preserve"> Popis koniotomie rovněž anatomicky není podán správně a teprve v dalším textu, kde je podrobně popsána technika operačního výkonu odpovídá text anatomické realitě</w:t>
            </w:r>
            <w:r w:rsidR="00E046D3">
              <w:t xml:space="preserve"> (vzniká zde nejasnost, zda  otvor v dýchací trubici má být vytvářen přes prstencovou chrupavku či nikoli)</w:t>
            </w:r>
            <w:r w:rsidR="002A312D">
              <w:t xml:space="preserve">. Další závažnou skutečností je nezvládnutí opisování anatomické terminologie z použité literatury, kdy došlo ke zkomolení názvů anatomických struktur (např. strana 14, 15, </w:t>
            </w:r>
            <w:r w:rsidR="00E046D3">
              <w:t xml:space="preserve">19, </w:t>
            </w:r>
            <w:r w:rsidR="002A312D">
              <w:t>20), jejichž názvy by autor měl znát tím spíše, že se jedná o termíny velmi těsně spjaté s tématem, který si vybral ke zpracování.</w:t>
            </w:r>
          </w:p>
          <w:p w:rsidR="002A312D" w:rsidRDefault="002A312D">
            <w:r>
              <w:t xml:space="preserve">   Výhrady lze mít k metodice zpracování Grafu 2, kdy opticky vzniká falešný efekt zcela zkreslující </w:t>
            </w:r>
            <w:r w:rsidR="0061263D">
              <w:t>skutečnost (vzniká dojem, že respondenti VŠ jsou téměř třikrát úspěšnější, než respondenti VOŠZ).</w:t>
            </w:r>
          </w:p>
          <w:p w:rsidR="00E118BE" w:rsidRDefault="00E118BE">
            <w:r>
              <w:t xml:space="preserve">  </w:t>
            </w:r>
            <w:r w:rsidR="0061263D">
              <w:t xml:space="preserve">   Výše uvedený výčet nedostatků by bylo jistě možno odstranit při větší pečlivosti autora, který tak bohužel snížil hodnotu jinak zajímavé a metodicky jistě dobře vedené </w:t>
            </w:r>
            <w:r w:rsidR="0031048E">
              <w:t>studie.</w:t>
            </w:r>
            <w:r w:rsidR="0061263D">
              <w:t xml:space="preserve"> </w:t>
            </w:r>
          </w:p>
          <w:p w:rsidR="00E118BE" w:rsidRDefault="00E118BE">
            <w:r>
              <w:t xml:space="preserve">    Z praktického hlediska by bylo dobře upozornit na úskalí péče o imobilní nemocné s tracheostomií v dlouhodobé péči, u kterých zdravotnický personál poměrně často přehlíží dokonce i výrazné klinické příznaky svědčící pro dušnost z důvodu parciální obstrukce tracheostomické kanyly. Tuto dušnost často nevyřeší ani odsávání a bývá nutné </w:t>
            </w:r>
            <w:r w:rsidR="0031048E">
              <w:t xml:space="preserve">tracheostomickou </w:t>
            </w:r>
            <w:r>
              <w:t xml:space="preserve">kanylu co nejdříve vyměnit. Prostupnost kanyly pro odsávací cévku nemusí znamenat, že je průsvit kanyly dostačující k eupnoickému dýchání. V textu je tato pro praxi významná skutečnost opominuta, což však oponent nepokládá za zásadní chybu textu, který by takto zřejmě přesáhl povolený rozsah. Bylo by </w:t>
            </w:r>
            <w:r w:rsidR="0031048E">
              <w:t xml:space="preserve">však </w:t>
            </w:r>
            <w:r>
              <w:t>dobře, kdyby autor tuto informaci dokázal využívat ve své praxi, kdy je nutné vždy cíleně pátrat</w:t>
            </w:r>
            <w:r w:rsidR="0031048E">
              <w:t xml:space="preserve"> po sebemenších příznacích dušnosti u nemocného, který není schopen komunikovat, nicméně dušnost subjektivně prožívá velmi trýznivě.</w:t>
            </w:r>
            <w:r>
              <w:t xml:space="preserve"> </w:t>
            </w:r>
          </w:p>
          <w:p w:rsidR="0061263D" w:rsidRDefault="00E118BE">
            <w:r>
              <w:t xml:space="preserve">      </w:t>
            </w:r>
            <w:r w:rsidR="0031048E">
              <w:t xml:space="preserve">Práci lze navzdory výše uvedeným nedostatkům hodnotit kladně. </w:t>
            </w:r>
            <w:r w:rsidR="0061263D">
              <w:t xml:space="preserve">Vytčené cíle byly splněny a práci lze jistě doporučit k obhajobě. </w:t>
            </w:r>
          </w:p>
          <w:p w:rsidR="000905F0" w:rsidRDefault="00243B2B">
            <w:r>
              <w:t xml:space="preserve"> 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38390B">
            <w:r w:rsidRPr="003275A4">
              <w:rPr>
                <w:b/>
              </w:rPr>
              <w:lastRenderedPageBreak/>
              <w:t>Otázky k obhajobě</w:t>
            </w:r>
            <w:r w:rsidRPr="0038390B">
              <w:t>:</w:t>
            </w:r>
            <w:r w:rsidR="0038390B" w:rsidRPr="0038390B">
              <w:t xml:space="preserve"> 1.</w:t>
            </w:r>
            <w:r w:rsidR="0038390B">
              <w:rPr>
                <w:b/>
              </w:rPr>
              <w:t xml:space="preserve"> </w:t>
            </w:r>
            <w:r w:rsidR="0038390B" w:rsidRPr="0038390B">
              <w:t>Jaký význam má lig. cricothyreoideum</w:t>
            </w:r>
            <w:r w:rsidR="0038390B">
              <w:rPr>
                <w:b/>
              </w:rPr>
              <w:t xml:space="preserve"> </w:t>
            </w:r>
            <w:r w:rsidR="0038390B" w:rsidRPr="0038390B">
              <w:t>při provádění koniotomie?</w:t>
            </w:r>
          </w:p>
          <w:p w:rsidR="0038390B" w:rsidRPr="0038390B" w:rsidRDefault="0038390B" w:rsidP="002D2CA1">
            <w:r w:rsidRPr="0038390B">
              <w:t>2.</w:t>
            </w:r>
            <w:r>
              <w:t xml:space="preserve"> Mohly by k zvýšení informovanosti všeobecných sester</w:t>
            </w:r>
            <w:r w:rsidR="002D2CA1">
              <w:t xml:space="preserve"> v oblasti péče o nemocné s tracheostomiemi přispět standardy ošetřovatelské péče vypracované a zavedené na odděleních zdravotnických zařízení?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F180D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243B2B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F180D" w:rsidP="00243B2B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8F180D" w:rsidP="00243B2B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8F180D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8F180D" w:rsidP="00243B2B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8F180D" w:rsidP="00243B2B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F180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F180D" w:rsidP="00243B2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243B2B">
            <w:r>
              <w:t>Datum:</w:t>
            </w:r>
            <w:r w:rsidR="00243B2B">
              <w:t xml:space="preserve"> 22.5.2017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C115A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0D" w:rsidRDefault="008F180D" w:rsidP="004C45B6">
      <w:pPr>
        <w:spacing w:after="0" w:line="240" w:lineRule="auto"/>
      </w:pPr>
      <w:r>
        <w:separator/>
      </w:r>
    </w:p>
  </w:endnote>
  <w:endnote w:type="continuationSeparator" w:id="0">
    <w:p w:rsidR="008F180D" w:rsidRDefault="008F180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0D" w:rsidRDefault="008F180D" w:rsidP="004C45B6">
      <w:pPr>
        <w:spacing w:after="0" w:line="240" w:lineRule="auto"/>
      </w:pPr>
      <w:r>
        <w:separator/>
      </w:r>
    </w:p>
  </w:footnote>
  <w:footnote w:type="continuationSeparator" w:id="0">
    <w:p w:rsidR="008F180D" w:rsidRDefault="008F180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1B5294"/>
    <w:rsid w:val="001C115A"/>
    <w:rsid w:val="00243B2B"/>
    <w:rsid w:val="002A312D"/>
    <w:rsid w:val="002A558B"/>
    <w:rsid w:val="002A5EA8"/>
    <w:rsid w:val="002A7C9E"/>
    <w:rsid w:val="002D2CA1"/>
    <w:rsid w:val="00307267"/>
    <w:rsid w:val="0031048E"/>
    <w:rsid w:val="003275A4"/>
    <w:rsid w:val="0038390B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17683"/>
    <w:rsid w:val="00585D57"/>
    <w:rsid w:val="005E4C88"/>
    <w:rsid w:val="0061263D"/>
    <w:rsid w:val="00667FD5"/>
    <w:rsid w:val="00680D89"/>
    <w:rsid w:val="006C5753"/>
    <w:rsid w:val="006E33FA"/>
    <w:rsid w:val="006E7C81"/>
    <w:rsid w:val="006F318E"/>
    <w:rsid w:val="00705FA6"/>
    <w:rsid w:val="00707EBF"/>
    <w:rsid w:val="0071495A"/>
    <w:rsid w:val="007259D8"/>
    <w:rsid w:val="00730C11"/>
    <w:rsid w:val="008F180D"/>
    <w:rsid w:val="00900ED0"/>
    <w:rsid w:val="009246F8"/>
    <w:rsid w:val="00965691"/>
    <w:rsid w:val="0098046A"/>
    <w:rsid w:val="0099475D"/>
    <w:rsid w:val="00996161"/>
    <w:rsid w:val="00A32848"/>
    <w:rsid w:val="00AB7549"/>
    <w:rsid w:val="00AC785B"/>
    <w:rsid w:val="00AF6E28"/>
    <w:rsid w:val="00BA74A0"/>
    <w:rsid w:val="00BC2A63"/>
    <w:rsid w:val="00BF794A"/>
    <w:rsid w:val="00C0316C"/>
    <w:rsid w:val="00C61293"/>
    <w:rsid w:val="00C64D29"/>
    <w:rsid w:val="00CB0AEA"/>
    <w:rsid w:val="00CF543A"/>
    <w:rsid w:val="00D2603C"/>
    <w:rsid w:val="00D64B8B"/>
    <w:rsid w:val="00D82AEB"/>
    <w:rsid w:val="00DA3FC7"/>
    <w:rsid w:val="00DB6634"/>
    <w:rsid w:val="00E046D3"/>
    <w:rsid w:val="00E118BE"/>
    <w:rsid w:val="00E85D9E"/>
    <w:rsid w:val="00E97BB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2017-05-22T06:57:00Z</dcterms:created>
  <dcterms:modified xsi:type="dcterms:W3CDTF">2017-05-22T06:57:00Z</dcterms:modified>
</cp:coreProperties>
</file>