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1"/>
        <w:gridCol w:w="478"/>
        <w:gridCol w:w="468"/>
        <w:gridCol w:w="468"/>
        <w:gridCol w:w="390"/>
        <w:gridCol w:w="363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8A4A5B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8A4A5B" w:rsidP="00261F9D">
            <w:r>
              <w:t>Lucie Mlčáková</w:t>
            </w:r>
          </w:p>
        </w:tc>
      </w:tr>
      <w:tr w:rsidR="00002BCA" w:rsidRPr="00FE1061" w:rsidTr="008A4A5B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8A4A5B" w:rsidP="00261F9D">
            <w:r>
              <w:t>Návrh badatelských aktivit pro děti předškolního věku</w:t>
            </w:r>
          </w:p>
        </w:tc>
      </w:tr>
      <w:tr w:rsidR="00002BCA" w:rsidRPr="00FE1061" w:rsidTr="008A4A5B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8A4A5B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8A4A5B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8A4A5B" w:rsidP="00261F9D">
            <w:r>
              <w:t>Učitelství pro mateřské školy</w:t>
            </w:r>
          </w:p>
        </w:tc>
      </w:tr>
      <w:tr w:rsidR="00002BCA" w:rsidRPr="00FE1061" w:rsidTr="008A4A5B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8A4A5B" w:rsidP="00261F9D">
            <w:r>
              <w:t>kombinovaná</w:t>
            </w:r>
          </w:p>
        </w:tc>
      </w:tr>
      <w:tr w:rsidR="00002BCA" w:rsidRPr="00FE1061" w:rsidTr="008A4A5B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8A4A5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8A4A5B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A4A5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A4A5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A4A5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8A4A5B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8A4A5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A4A5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A4A5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8A4A5B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A4A5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8A4A5B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8A4A5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A4A5B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A4A5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732D0" w:rsidP="000F3059"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A4A5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A4A5B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8A4A5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8732D0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A4A5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8732D0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8732D0" w:rsidRDefault="008732D0" w:rsidP="00DA11E6">
            <w:pPr>
              <w:rPr>
                <w:b/>
                <w:sz w:val="22"/>
                <w:szCs w:val="22"/>
              </w:rPr>
            </w:pPr>
          </w:p>
          <w:p w:rsidR="00002BCA" w:rsidRDefault="00002BCA" w:rsidP="00DA11E6">
            <w:pPr>
              <w:rPr>
                <w:b/>
              </w:rPr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8A4A5B" w:rsidP="008A4A5B">
            <w:pPr>
              <w:jc w:val="both"/>
              <w:rPr>
                <w:sz w:val="22"/>
                <w:szCs w:val="22"/>
              </w:rPr>
            </w:pPr>
            <w:r w:rsidRPr="008A4A5B">
              <w:rPr>
                <w:sz w:val="22"/>
                <w:szCs w:val="22"/>
              </w:rPr>
              <w:t>Koncepce teoretické části práce je nejasná a pro čitatele nesrozumitelná.</w:t>
            </w:r>
            <w:r>
              <w:rPr>
                <w:sz w:val="22"/>
                <w:szCs w:val="22"/>
              </w:rPr>
              <w:t xml:space="preserve"> Autorka v ní vysvětluje dětské </w:t>
            </w:r>
            <w:proofErr w:type="spellStart"/>
            <w:r>
              <w:rPr>
                <w:sz w:val="22"/>
                <w:szCs w:val="22"/>
              </w:rPr>
              <w:t>prekoncepty</w:t>
            </w:r>
            <w:proofErr w:type="spellEnd"/>
            <w:r>
              <w:rPr>
                <w:sz w:val="22"/>
                <w:szCs w:val="22"/>
              </w:rPr>
              <w:t xml:space="preserve">, přírodovědné vzdělávání, pedagogické strategie, postavení přírodovědného vzdělávání v RVP. To všechno ale nesouvisí s tématem práce. Podle mého názoru měla být nosná kapitola 3. 3., ta je zpracována jenom na jedné straně textu, co považuji za nedostačující. Musím konstatovat, že ani v této části není vysvětleno, co vlastně badatelská aktivita je. </w:t>
            </w:r>
          </w:p>
          <w:p w:rsidR="008A4A5B" w:rsidRDefault="008A4A5B" w:rsidP="008A4A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autorka využívá poměrně velkou variabilitu </w:t>
            </w:r>
            <w:r w:rsidR="008732D0">
              <w:rPr>
                <w:sz w:val="22"/>
                <w:szCs w:val="22"/>
              </w:rPr>
              <w:t xml:space="preserve">různých didaktických strategií, přičemž ne všechny jsou badatelské. Také některé začlenění metod je zpochybnitelné. Například jakou metodou je vycházka (s. 28). Co je to frontální vycházka? </w:t>
            </w:r>
          </w:p>
          <w:p w:rsidR="008732D0" w:rsidRPr="008A4A5B" w:rsidRDefault="008732D0" w:rsidP="008A4A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oceňuji jenom náměty pro děti a musím konstatovat, že také některé cíle a kompetence jsou nevhodně zpracovány.</w:t>
            </w:r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8A4A5B">
              <w:rPr>
                <w:sz w:val="22"/>
                <w:szCs w:val="22"/>
              </w:rPr>
              <w:t xml:space="preserve"> </w:t>
            </w:r>
            <w:r w:rsidR="008732D0">
              <w:rPr>
                <w:sz w:val="22"/>
                <w:szCs w:val="22"/>
              </w:rPr>
              <w:t>Co je badatelská aktivita</w:t>
            </w:r>
            <w:r w:rsidR="008A4A5B">
              <w:rPr>
                <w:sz w:val="22"/>
                <w:szCs w:val="22"/>
              </w:rPr>
              <w:t>?</w:t>
            </w:r>
            <w:r w:rsidR="008732D0">
              <w:rPr>
                <w:sz w:val="22"/>
                <w:szCs w:val="22"/>
              </w:rPr>
              <w:t xml:space="preserve"> Jaký je rozdíl mezi badatelskou aktivitou a badatelským vyučováním?</w:t>
            </w:r>
          </w:p>
          <w:p w:rsidR="008732D0" w:rsidRPr="008732D0" w:rsidRDefault="008732D0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Co je frontální vycházka? Jak </w:t>
            </w:r>
            <w:proofErr w:type="gramStart"/>
            <w:r>
              <w:rPr>
                <w:sz w:val="22"/>
                <w:szCs w:val="22"/>
              </w:rPr>
              <w:t>by jste definovala</w:t>
            </w:r>
            <w:proofErr w:type="gramEnd"/>
            <w:r>
              <w:rPr>
                <w:sz w:val="22"/>
                <w:szCs w:val="22"/>
              </w:rPr>
              <w:t xml:space="preserve"> vycházku jako metodu?</w:t>
            </w:r>
          </w:p>
          <w:p w:rsidR="00002BCA" w:rsidRPr="00A76771" w:rsidRDefault="00002BCA" w:rsidP="000F3059"/>
        </w:tc>
      </w:tr>
      <w:tr w:rsidR="00002BCA" w:rsidRPr="00FE1061" w:rsidTr="008A4A5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8A4A5B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8732D0">
              <w:rPr>
                <w:sz w:val="22"/>
                <w:szCs w:val="22"/>
              </w:rPr>
              <w:t>03. 05. 2017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00" w:rsidRDefault="00FF1300" w:rsidP="00002BCA">
      <w:r>
        <w:separator/>
      </w:r>
    </w:p>
  </w:endnote>
  <w:endnote w:type="continuationSeparator" w:id="0">
    <w:p w:rsidR="00FF1300" w:rsidRDefault="00FF1300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00" w:rsidRDefault="00FF1300" w:rsidP="00002BCA">
      <w:r>
        <w:separator/>
      </w:r>
    </w:p>
  </w:footnote>
  <w:footnote w:type="continuationSeparator" w:id="0">
    <w:p w:rsidR="00FF1300" w:rsidRDefault="00FF1300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2287E"/>
    <w:rsid w:val="002564CB"/>
    <w:rsid w:val="002677D8"/>
    <w:rsid w:val="00285F37"/>
    <w:rsid w:val="002B06AC"/>
    <w:rsid w:val="002B0BAD"/>
    <w:rsid w:val="002B4EF2"/>
    <w:rsid w:val="00471798"/>
    <w:rsid w:val="00535B93"/>
    <w:rsid w:val="00565ECE"/>
    <w:rsid w:val="00653CB2"/>
    <w:rsid w:val="007D6923"/>
    <w:rsid w:val="008732D0"/>
    <w:rsid w:val="00873B38"/>
    <w:rsid w:val="008A4A5B"/>
    <w:rsid w:val="009017E0"/>
    <w:rsid w:val="00910789"/>
    <w:rsid w:val="00A72CED"/>
    <w:rsid w:val="00A76771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2017-05-03T07:33:00Z</cp:lastPrinted>
  <dcterms:created xsi:type="dcterms:W3CDTF">2017-05-03T07:17:00Z</dcterms:created>
  <dcterms:modified xsi:type="dcterms:W3CDTF">2017-05-03T07:33:00Z</dcterms:modified>
</cp:coreProperties>
</file>