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1" w:name="Rozevírací2"/>
      <w:r w:rsidR="00945BBD">
        <w:rPr>
          <w:rFonts w:ascii="Arial Narrow" w:hAnsi="Arial Narrow"/>
          <w:b/>
          <w:i/>
          <w:sz w:val="22"/>
          <w:szCs w:val="22"/>
        </w:rPr>
        <w:t xml:space="preserve">Hana Hradilíková 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r w:rsidRPr="00555D98">
        <w:rPr>
          <w:rFonts w:ascii="Arial Narrow" w:hAnsi="Arial Narrow"/>
          <w:sz w:val="22"/>
          <w:szCs w:val="22"/>
        </w:rPr>
        <w:t>BP:</w:t>
      </w:r>
      <w:bookmarkStart w:id="2" w:name="Text2"/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945BBD">
        <w:rPr>
          <w:rFonts w:ascii="Arial Narrow" w:hAnsi="Arial Narrow"/>
          <w:b/>
          <w:i/>
          <w:sz w:val="22"/>
          <w:szCs w:val="22"/>
        </w:rPr>
        <w:t xml:space="preserve">JUDr. Libor Šnédar Ph.D. 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bookmarkEnd w:id="2"/>
      <w:r w:rsidRPr="00555D98">
        <w:rPr>
          <w:rFonts w:ascii="Arial Narrow" w:hAnsi="Arial Narrow"/>
          <w:sz w:val="22"/>
          <w:szCs w:val="22"/>
        </w:rPr>
        <w:t xml:space="preserve">                                     Ak. rok:</w:t>
      </w:r>
      <w:bookmarkStart w:id="3" w:name="Text3"/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945BBD">
        <w:rPr>
          <w:rFonts w:ascii="Arial Narrow" w:hAnsi="Arial Narrow"/>
          <w:b/>
          <w:i/>
          <w:sz w:val="22"/>
          <w:szCs w:val="22"/>
        </w:rPr>
        <w:t>2017/2018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bookmarkEnd w:id="3"/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bookmarkStart w:id="4" w:name="Text4"/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945BBD">
        <w:rPr>
          <w:rFonts w:ascii="Arial Narrow" w:hAnsi="Arial Narrow"/>
          <w:b/>
          <w:i/>
          <w:sz w:val="22"/>
          <w:szCs w:val="22"/>
        </w:rPr>
        <w:t xml:space="preserve">Návrh na rozšíření denního stacionáře pro seniory Naděje Zlín 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bookmarkEnd w:id="4"/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5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:rsidR="00302639" w:rsidRPr="00555D98" w:rsidRDefault="00945BB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:rsidR="00302639" w:rsidRPr="00555D98" w:rsidRDefault="00B50EB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:rsidR="00302639" w:rsidRPr="00555D98" w:rsidRDefault="00B50EB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B50EB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B50EB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:rsidR="00302639" w:rsidRPr="00555D98" w:rsidRDefault="00B50EB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:rsidR="00302639" w:rsidRPr="00555D98" w:rsidRDefault="00B50EB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:rsidR="00302639" w:rsidRPr="00555D98" w:rsidRDefault="00B50EB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:rsidR="00302639" w:rsidRPr="00555D98" w:rsidRDefault="00B50EB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B50EB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C753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B50EB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23</w:t>
            </w:r>
          </w:p>
        </w:tc>
      </w:tr>
    </w:tbl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bookmarkStart w:id="6" w:name="Text6"/>
    <w:p w:rsidR="001747B6" w:rsidRDefault="00302639" w:rsidP="00B50EB3">
      <w:pPr>
        <w:jc w:val="both"/>
        <w:rPr>
          <w:rFonts w:ascii="Arial Narrow" w:hAnsi="Arial Narrow"/>
          <w:i/>
          <w:noProof/>
          <w:sz w:val="22"/>
          <w:szCs w:val="22"/>
        </w:rPr>
      </w:pP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B50EB3">
        <w:rPr>
          <w:rFonts w:ascii="Arial Narrow" w:hAnsi="Arial Narrow"/>
          <w:i/>
          <w:noProof/>
          <w:sz w:val="22"/>
          <w:szCs w:val="22"/>
        </w:rPr>
        <w:t>Řešená práce má návrhový charakter a zabývá se problematikou praktické aplikace sociálních služeb. Práce vycházíz aktuální zvyšující se potřeby sociáních služeb zaměřených obecně na starší seniorskou generaci a z tohoto pohledu je aktuální. Práce se věnuje jednomu z největších poskytovatelů sociálních služeb ve zlínském regionu. Z tohoto pohledu se autorka věnuje ale také komparací s ostatními poskytovateli ve zlínském regionu</w:t>
      </w:r>
      <w:r w:rsidR="001747B6">
        <w:rPr>
          <w:rFonts w:ascii="Arial Narrow" w:hAnsi="Arial Narrow"/>
          <w:i/>
          <w:noProof/>
          <w:sz w:val="22"/>
          <w:szCs w:val="22"/>
        </w:rPr>
        <w:t>, na základě čehož lze dovodit důvody pro rozsšíření denního stacionáře popisované instituce tak, aby odpovídala zvyšujícím se potřebám sociálního zajištění seniorské generace. Práci jako celek hodnotím pozitivně.</w:t>
      </w:r>
    </w:p>
    <w:p w:rsidR="001747B6" w:rsidRDefault="001747B6" w:rsidP="00B50EB3">
      <w:pPr>
        <w:jc w:val="both"/>
        <w:rPr>
          <w:rFonts w:ascii="Arial Narrow" w:hAnsi="Arial Narrow"/>
          <w:i/>
          <w:noProof/>
          <w:sz w:val="22"/>
          <w:szCs w:val="22"/>
        </w:rPr>
      </w:pPr>
    </w:p>
    <w:p w:rsidR="001747B6" w:rsidRDefault="001747B6" w:rsidP="00B50EB3">
      <w:pPr>
        <w:jc w:val="both"/>
        <w:rPr>
          <w:rFonts w:ascii="Arial Narrow" w:hAnsi="Arial Narrow"/>
          <w:b/>
          <w:i/>
          <w:noProof/>
          <w:sz w:val="22"/>
          <w:szCs w:val="22"/>
        </w:rPr>
      </w:pPr>
      <w:r>
        <w:rPr>
          <w:rFonts w:ascii="Arial Narrow" w:hAnsi="Arial Narrow"/>
          <w:b/>
          <w:i/>
          <w:noProof/>
          <w:sz w:val="22"/>
          <w:szCs w:val="22"/>
        </w:rPr>
        <w:t>Otázky:</w:t>
      </w:r>
    </w:p>
    <w:p w:rsidR="00323D15" w:rsidRDefault="001747B6" w:rsidP="00B50EB3">
      <w:pPr>
        <w:jc w:val="both"/>
        <w:rPr>
          <w:rFonts w:ascii="Arial Narrow" w:hAnsi="Arial Narrow"/>
          <w:b/>
          <w:i/>
          <w:noProof/>
          <w:sz w:val="22"/>
          <w:szCs w:val="22"/>
        </w:rPr>
      </w:pPr>
      <w:r>
        <w:rPr>
          <w:rFonts w:ascii="Arial Narrow" w:hAnsi="Arial Narrow"/>
          <w:b/>
          <w:i/>
          <w:noProof/>
          <w:sz w:val="22"/>
          <w:szCs w:val="22"/>
        </w:rPr>
        <w:t xml:space="preserve"> 1) V rámci rozšířšní uvažujete i o navýšení stavu zaměstnanců ( str.54). Uvádíte, že budou</w:t>
      </w:r>
      <w:r w:rsidR="00323D15">
        <w:rPr>
          <w:rFonts w:ascii="Arial Narrow" w:hAnsi="Arial Narrow"/>
          <w:b/>
          <w:i/>
          <w:noProof/>
          <w:sz w:val="22"/>
          <w:szCs w:val="22"/>
        </w:rPr>
        <w:t xml:space="preserve"> " přijaty dvě sociální pracovnice" Nejdná se o diskriminaci z důvodu pohlaví, pokud předem vylučujete z možnosti této práce sociální pracovníky ? </w:t>
      </w:r>
    </w:p>
    <w:p w:rsidR="00302639" w:rsidRPr="00555D98" w:rsidRDefault="00323D15" w:rsidP="00B50EB3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i/>
          <w:noProof/>
          <w:sz w:val="22"/>
          <w:szCs w:val="22"/>
        </w:rPr>
        <w:t>2) Musí pro rozšíření posyktovatele ssociálních služeb dát souhlas místně příslušný Krajský úřad pro Zlínský kraj?</w:t>
      </w:r>
      <w:r w:rsidR="00302639"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302639"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302639" w:rsidRPr="00555D98">
        <w:rPr>
          <w:rFonts w:ascii="Arial Narrow" w:hAnsi="Arial Narrow"/>
          <w:i/>
          <w:noProof/>
          <w:sz w:val="22"/>
          <w:szCs w:val="22"/>
        </w:rPr>
        <w:t> </w:t>
      </w:r>
      <w:r w:rsidR="00302639" w:rsidRPr="00555D98">
        <w:rPr>
          <w:rFonts w:ascii="Arial Narrow" w:hAnsi="Arial Narrow"/>
          <w:i/>
          <w:sz w:val="22"/>
          <w:szCs w:val="22"/>
        </w:rPr>
        <w:fldChar w:fldCharType="end"/>
      </w:r>
      <w:bookmarkEnd w:id="6"/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323D15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7" w:name="Rozevírací5"/>
      <w:r w:rsidR="00323D15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8C7533">
        <w:rPr>
          <w:rFonts w:ascii="Arial Narrow" w:hAnsi="Arial Narrow"/>
          <w:i/>
          <w:sz w:val="22"/>
          <w:szCs w:val="22"/>
        </w:rPr>
      </w:r>
      <w:r w:rsidR="008C7533">
        <w:rPr>
          <w:rFonts w:ascii="Arial Narrow" w:hAnsi="Arial Narrow"/>
          <w:i/>
          <w:sz w:val="22"/>
          <w:szCs w:val="22"/>
        </w:rPr>
        <w:fldChar w:fldCharType="separate"/>
      </w:r>
      <w:r w:rsidR="00323D15">
        <w:rPr>
          <w:rFonts w:ascii="Arial Narrow" w:hAnsi="Arial Narrow"/>
          <w:i/>
          <w:sz w:val="22"/>
          <w:szCs w:val="22"/>
        </w:rPr>
        <w:fldChar w:fldCharType="end"/>
      </w:r>
      <w:bookmarkEnd w:id="7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323D15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323D15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8C7533">
        <w:rPr>
          <w:rFonts w:ascii="Arial Narrow" w:hAnsi="Arial Narrow"/>
          <w:i/>
          <w:sz w:val="22"/>
          <w:szCs w:val="22"/>
        </w:rPr>
      </w:r>
      <w:r w:rsidR="008C7533">
        <w:rPr>
          <w:rFonts w:ascii="Arial Narrow" w:hAnsi="Arial Narrow"/>
          <w:i/>
          <w:sz w:val="22"/>
          <w:szCs w:val="22"/>
        </w:rPr>
        <w:fldChar w:fldCharType="separate"/>
      </w:r>
      <w:r w:rsidR="00323D15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323D15">
        <w:rPr>
          <w:rFonts w:ascii="Arial Narrow" w:hAnsi="Arial Narrow"/>
          <w:i/>
          <w:sz w:val="22"/>
          <w:szCs w:val="22"/>
        </w:rPr>
        <w:t xml:space="preserve">18.5. 2018 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8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8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533" w:rsidRDefault="008C7533" w:rsidP="00302639">
      <w:r>
        <w:separator/>
      </w:r>
    </w:p>
  </w:endnote>
  <w:endnote w:type="continuationSeparator" w:id="0">
    <w:p w:rsidR="008C7533" w:rsidRDefault="008C7533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533" w:rsidRDefault="008C7533" w:rsidP="00302639">
      <w:r>
        <w:separator/>
      </w:r>
    </w:p>
  </w:footnote>
  <w:footnote w:type="continuationSeparator" w:id="0">
    <w:p w:rsidR="008C7533" w:rsidRDefault="008C7533" w:rsidP="00302639">
      <w:r>
        <w:continuationSeparator/>
      </w:r>
    </w:p>
  </w:footnote>
  <w:footnote w:id="1">
    <w:p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39"/>
    <w:rsid w:val="001747B6"/>
    <w:rsid w:val="00302639"/>
    <w:rsid w:val="00323D15"/>
    <w:rsid w:val="004E7588"/>
    <w:rsid w:val="008C7533"/>
    <w:rsid w:val="00925114"/>
    <w:rsid w:val="00945BBD"/>
    <w:rsid w:val="00962B97"/>
    <w:rsid w:val="00AD16E5"/>
    <w:rsid w:val="00B20EC1"/>
    <w:rsid w:val="00B50EB3"/>
    <w:rsid w:val="00B67C77"/>
    <w:rsid w:val="00F22105"/>
    <w:rsid w:val="00F5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767D4-2F80-4D2A-8F73-13BD4958C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248E8-5E97-4E05-88DF-4ECD60AC5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dcterms:created xsi:type="dcterms:W3CDTF">2018-05-21T12:16:00Z</dcterms:created>
  <dcterms:modified xsi:type="dcterms:W3CDTF">2018-05-21T12:16:00Z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