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E2E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Ivona Bařinková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E2E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implikace lidí trpících atypickými poruchami příjmu potravy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AE2E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2E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E2E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AE2E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AE2EF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E2E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AE2EF3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AE2EF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věnuje tématu, které potřebuje dostat prostor především ve školním prostředí. Oceňuji, že autorka toto neopomněla. Ovšem domnívám se, že ob</w:t>
            </w:r>
            <w:r w:rsidR="00CB198D">
              <w:rPr>
                <w:sz w:val="22"/>
                <w:szCs w:val="22"/>
              </w:rPr>
              <w:t>lasti prevence v</w:t>
            </w:r>
            <w:r>
              <w:rPr>
                <w:sz w:val="22"/>
                <w:szCs w:val="22"/>
              </w:rPr>
              <w:t>e školním prostředí mohl být poskytnut větší prostor</w:t>
            </w:r>
            <w:r w:rsidR="00CB198D">
              <w:rPr>
                <w:sz w:val="22"/>
                <w:szCs w:val="22"/>
              </w:rPr>
              <w:t xml:space="preserve"> (z hlediska vztahu k sociální pedagogice)</w:t>
            </w:r>
            <w:r>
              <w:rPr>
                <w:sz w:val="22"/>
                <w:szCs w:val="22"/>
              </w:rPr>
              <w:t>. Předkládaná bakalářská práce splňuje nároky kladené na tento druh práce.</w:t>
            </w:r>
          </w:p>
          <w:p w:rsidR="00AE2EF3" w:rsidRDefault="00AE2EF3" w:rsidP="00362AB0">
            <w:pPr>
              <w:rPr>
                <w:sz w:val="22"/>
                <w:szCs w:val="22"/>
              </w:rPr>
            </w:pPr>
            <w:r w:rsidRPr="00AE2EF3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AE2EF3" w:rsidRDefault="00AE2EF3" w:rsidP="00AE2E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obsahuje adekvátní analýzu zkoumané problematiky.</w:t>
            </w:r>
          </w:p>
          <w:p w:rsidR="00AE2EF3" w:rsidRDefault="00AE2EF3" w:rsidP="00AE2E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 subkapitolu 3. 4 věnovanou přímo sociálnímu pedagogovi.</w:t>
            </w:r>
          </w:p>
          <w:p w:rsidR="00AE2EF3" w:rsidRDefault="00AE2EF3" w:rsidP="00AE2E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také stručná shrnutí za každou kapitolou teoretické části.</w:t>
            </w:r>
          </w:p>
          <w:p w:rsidR="00AE2EF3" w:rsidRDefault="00AE2EF3" w:rsidP="00AE2E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Text je přehledný a pracuje </w:t>
            </w:r>
            <w:r w:rsidR="00CB198D">
              <w:rPr>
                <w:sz w:val="22"/>
                <w:szCs w:val="22"/>
              </w:rPr>
              <w:t xml:space="preserve">s </w:t>
            </w:r>
            <w:bookmarkStart w:id="0" w:name="_GoBack"/>
            <w:bookmarkEnd w:id="0"/>
            <w:r>
              <w:rPr>
                <w:sz w:val="22"/>
                <w:szCs w:val="22"/>
              </w:rPr>
              <w:t>dostatečným množstvím zdrojů.</w:t>
            </w:r>
          </w:p>
          <w:p w:rsidR="00AE2EF3" w:rsidRDefault="00AE2EF3" w:rsidP="00AE2E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obsahuje přehlednou analýzu dat i interpretaci (zde jsou však drobné nedostatky).</w:t>
            </w:r>
          </w:p>
          <w:p w:rsidR="00AE2EF3" w:rsidRDefault="00AE2EF3" w:rsidP="00AE2EF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Výsledky výzkumu jsou velmi zajímavé a jistě by bylo možné jejich uplatnění právě v prevenci v základních a středních školách.</w:t>
            </w:r>
          </w:p>
          <w:p w:rsidR="00AE2EF3" w:rsidRDefault="00AE2EF3" w:rsidP="00AE2EF3">
            <w:pPr>
              <w:rPr>
                <w:sz w:val="22"/>
                <w:szCs w:val="22"/>
              </w:rPr>
            </w:pPr>
            <w:r w:rsidRPr="00AE2EF3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AE2EF3" w:rsidRDefault="00AE2EF3" w:rsidP="00AE2EF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Analýza konkrétních sociálních důsledků nemoci mohla být poněkud obsáhlejší. </w:t>
            </w:r>
          </w:p>
          <w:p w:rsidR="00AE2EF3" w:rsidRDefault="00AE2EF3" w:rsidP="00AE2EF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Nedostatky vidím spíše v praktické části, kde autorka </w:t>
            </w:r>
            <w:r w:rsidR="00CB198D">
              <w:rPr>
                <w:sz w:val="22"/>
                <w:szCs w:val="22"/>
              </w:rPr>
              <w:t>formulovala celkem ambiciózní cíle. Zároveň zde pracuje s termíny, které se v teoretické části neobjevují. Nicméně i přesto je nutné ocenit snahu o naplnění těchto cílů formou rozhovorů s respondenty.</w:t>
            </w:r>
          </w:p>
          <w:p w:rsidR="00CB198D" w:rsidRPr="00AE2EF3" w:rsidRDefault="00CB198D" w:rsidP="00AE2EF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Intepretace vychází ze získaných informací, avšak jen částečně splňuje požadavky vzhledem ke stanovenému designu.</w:t>
            </w:r>
          </w:p>
          <w:p w:rsidR="00AE2EF3" w:rsidRPr="00AE2EF3" w:rsidRDefault="00AE2EF3" w:rsidP="00AE2EF3">
            <w:pPr>
              <w:rPr>
                <w:sz w:val="22"/>
                <w:szCs w:val="22"/>
              </w:rPr>
            </w:pPr>
          </w:p>
          <w:p w:rsidR="00B411DB" w:rsidRPr="00C50B27" w:rsidRDefault="00CB19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B.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B19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směřuje především k problematice psychogenního přejídání, z jakého důvodu?</w:t>
            </w:r>
          </w:p>
          <w:p w:rsidR="00CB198D" w:rsidRDefault="00CB19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byl zvolen design zakotvené teorie?</w:t>
            </w:r>
          </w:p>
          <w:p w:rsidR="00CB198D" w:rsidRPr="00C50B27" w:rsidRDefault="00CB198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Jaká teorie z Vašeho výzkumu tedy vychází?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E2EF3">
              <w:rPr>
                <w:sz w:val="22"/>
                <w:szCs w:val="22"/>
              </w:rPr>
              <w:t xml:space="preserve"> 30. 4. 2018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FE" w:rsidRDefault="00411EFE">
      <w:r>
        <w:separator/>
      </w:r>
    </w:p>
  </w:endnote>
  <w:endnote w:type="continuationSeparator" w:id="0">
    <w:p w:rsidR="00411EFE" w:rsidRDefault="00411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FE" w:rsidRDefault="00411EFE">
      <w:r>
        <w:separator/>
      </w:r>
    </w:p>
  </w:footnote>
  <w:footnote w:type="continuationSeparator" w:id="0">
    <w:p w:rsidR="00411EFE" w:rsidRDefault="00411EF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6C1"/>
    <w:multiLevelType w:val="hybridMultilevel"/>
    <w:tmpl w:val="523C5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1D35"/>
    <w:multiLevelType w:val="hybridMultilevel"/>
    <w:tmpl w:val="5DE226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411EFE"/>
    <w:rsid w:val="00512982"/>
    <w:rsid w:val="00514664"/>
    <w:rsid w:val="00526D47"/>
    <w:rsid w:val="0055255D"/>
    <w:rsid w:val="005C219A"/>
    <w:rsid w:val="006847E2"/>
    <w:rsid w:val="00730C1A"/>
    <w:rsid w:val="0078760F"/>
    <w:rsid w:val="00802655"/>
    <w:rsid w:val="00AE2EF3"/>
    <w:rsid w:val="00B411DB"/>
    <w:rsid w:val="00BA3203"/>
    <w:rsid w:val="00C03D7D"/>
    <w:rsid w:val="00C50B27"/>
    <w:rsid w:val="00CB198D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83EA1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E2EF3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B198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B1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2</Pages>
  <Words>421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2018-04-30T12:02:00Z</cp:lastPrinted>
  <dcterms:created xsi:type="dcterms:W3CDTF">2018-04-30T12:02:00Z</dcterms:created>
  <dcterms:modified xsi:type="dcterms:W3CDTF">2018-04-30T12:02:00Z</dcterms:modified>
</cp:coreProperties>
</file>