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BA491A">
        <w:rPr>
          <w:b/>
          <w:i/>
          <w:sz w:val="22"/>
          <w:szCs w:val="22"/>
        </w:rPr>
        <w:t>Eva Chovancova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gramStart"/>
      <w:r w:rsidR="00920750">
        <w:rPr>
          <w:b/>
          <w:i/>
          <w:sz w:val="22"/>
          <w:szCs w:val="22"/>
        </w:rPr>
        <w:t>Doc.</w:t>
      </w:r>
      <w:proofErr w:type="gramEnd"/>
      <w:r w:rsidR="00920750">
        <w:rPr>
          <w:b/>
          <w:i/>
          <w:sz w:val="22"/>
          <w:szCs w:val="22"/>
        </w:rPr>
        <w:t xml:space="preserve">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</w:t>
      </w:r>
      <w:r w:rsidR="00787A16">
        <w:rPr>
          <w:b/>
          <w:i/>
          <w:sz w:val="22"/>
          <w:szCs w:val="22"/>
        </w:rPr>
        <w:t>20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</w:t>
      </w:r>
      <w:r w:rsidR="00787A16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491A">
        <w:rPr>
          <w:b/>
          <w:i/>
          <w:sz w:val="22"/>
          <w:szCs w:val="22"/>
        </w:rPr>
        <w:t xml:space="preserve">Analýza </w:t>
      </w:r>
      <w:r w:rsidR="007A1202">
        <w:rPr>
          <w:b/>
          <w:i/>
          <w:sz w:val="22"/>
          <w:szCs w:val="22"/>
        </w:rPr>
        <w:t>dlouhodobého majetku</w:t>
      </w:r>
      <w:r w:rsidR="00787A16">
        <w:rPr>
          <w:b/>
          <w:i/>
          <w:sz w:val="22"/>
          <w:szCs w:val="22"/>
        </w:rPr>
        <w:t xml:space="preserve"> </w:t>
      </w:r>
      <w:r w:rsidR="00BA491A">
        <w:rPr>
          <w:b/>
          <w:i/>
          <w:sz w:val="22"/>
          <w:szCs w:val="22"/>
        </w:rPr>
        <w:t>z pohledu českých účetních standardů a mezinárodních standardů účetního výkaznictví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b/>
                <w:snapToGrid w:val="0"/>
                <w:color w:val="000000"/>
              </w:rPr>
            </w:r>
            <w:r w:rsidR="005F5B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5BF2">
              <w:rPr>
                <w:snapToGrid w:val="0"/>
                <w:color w:val="000000"/>
              </w:rPr>
            </w:r>
            <w:r w:rsidR="005F5B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04BD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491A">
              <w:rPr>
                <w:b/>
                <w:snapToGrid w:val="0"/>
                <w:color w:val="000000"/>
              </w:rPr>
              <w:t>2</w:t>
            </w:r>
            <w:r w:rsidR="00504BDD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10175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787A16">
        <w:rPr>
          <w:i/>
          <w:noProof/>
        </w:rPr>
        <w:t>dlouhodobého majetku</w:t>
      </w:r>
      <w:r w:rsidR="002B4D78">
        <w:rPr>
          <w:i/>
          <w:noProof/>
        </w:rPr>
        <w:t xml:space="preserve"> </w:t>
      </w:r>
      <w:r w:rsidR="00BA491A">
        <w:rPr>
          <w:i/>
          <w:noProof/>
        </w:rPr>
        <w:t xml:space="preserve">z pohledu českých účetních standardů a mezinárodních standardů účetního výkaznictví.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CC261A">
        <w:rPr>
          <w:i/>
          <w:noProof/>
        </w:rPr>
        <w:t xml:space="preserve">V analytické části autorka </w:t>
      </w:r>
      <w:r w:rsidR="005E6B17">
        <w:rPr>
          <w:i/>
          <w:noProof/>
        </w:rPr>
        <w:t>analyzuje</w:t>
      </w:r>
      <w:r w:rsidR="00844C21">
        <w:rPr>
          <w:i/>
          <w:noProof/>
        </w:rPr>
        <w:t xml:space="preserve"> </w:t>
      </w:r>
      <w:r w:rsidR="00BA491A">
        <w:rPr>
          <w:i/>
          <w:noProof/>
        </w:rPr>
        <w:t>dlouhodobý majetek</w:t>
      </w:r>
      <w:r w:rsidR="00844C21">
        <w:rPr>
          <w:i/>
          <w:noProof/>
        </w:rPr>
        <w:t xml:space="preserve"> podle ČÚL a podle IFRS</w:t>
      </w:r>
      <w:r w:rsidR="00BA491A">
        <w:rPr>
          <w:i/>
          <w:noProof/>
        </w:rPr>
        <w:t xml:space="preserve"> a dopad vlivu přijetí IFRS na</w:t>
      </w:r>
      <w:r w:rsidR="002B4D78">
        <w:rPr>
          <w:i/>
          <w:noProof/>
        </w:rPr>
        <w:t xml:space="preserve"> </w:t>
      </w:r>
      <w:r w:rsidR="00BA491A">
        <w:rPr>
          <w:i/>
          <w:noProof/>
        </w:rPr>
        <w:t>rozvahu analyzované společnosti</w:t>
      </w:r>
      <w:r w:rsidR="00844C21">
        <w:rPr>
          <w:i/>
          <w:noProof/>
        </w:rPr>
        <w:t xml:space="preserve">. V závěrečné části práce je </w:t>
      </w:r>
      <w:r w:rsidR="00BA491A">
        <w:rPr>
          <w:i/>
          <w:noProof/>
        </w:rPr>
        <w:t>vyhodnocen dopad změn na rozvahu</w:t>
      </w:r>
      <w:r w:rsidR="00844C21">
        <w:rPr>
          <w:i/>
          <w:noProof/>
        </w:rPr>
        <w:t xml:space="preserve"> podle obou účetních systémů.</w:t>
      </w:r>
      <w:r w:rsidR="005E6B17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910175" w:rsidRDefault="00910175" w:rsidP="005E6B17">
      <w:pPr>
        <w:rPr>
          <w:i/>
          <w:noProof/>
        </w:rPr>
      </w:pPr>
    </w:p>
    <w:p w:rsidR="00CC261A" w:rsidRDefault="009168BE" w:rsidP="005E6B17">
      <w:pPr>
        <w:rPr>
          <w:i/>
          <w:noProof/>
        </w:rPr>
      </w:pPr>
      <w:r>
        <w:rPr>
          <w:i/>
          <w:noProof/>
        </w:rPr>
        <w:t>Využije analyzovaná společnost vaše doporučení?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5BF2">
        <w:rPr>
          <w:i/>
        </w:rPr>
      </w:r>
      <w:r w:rsidR="005F5BF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5BF2">
        <w:rPr>
          <w:i/>
        </w:rPr>
      </w:r>
      <w:r w:rsidR="005F5BF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4C21">
        <w:rPr>
          <w:i/>
        </w:rPr>
        <w:t>15</w:t>
      </w:r>
      <w:r w:rsidR="005E6B17">
        <w:rPr>
          <w:i/>
          <w:noProof/>
        </w:rPr>
        <w:t>. 6. 202</w:t>
      </w:r>
      <w:r w:rsidR="00844C21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BF2" w:rsidRDefault="005F5BF2">
      <w:r>
        <w:separator/>
      </w:r>
    </w:p>
  </w:endnote>
  <w:endnote w:type="continuationSeparator" w:id="0">
    <w:p w:rsidR="005F5BF2" w:rsidRDefault="005F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BF2" w:rsidRDefault="005F5BF2">
      <w:r>
        <w:separator/>
      </w:r>
    </w:p>
  </w:footnote>
  <w:footnote w:type="continuationSeparator" w:id="0">
    <w:p w:rsidR="005F5BF2" w:rsidRDefault="005F5BF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70DE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24CB5"/>
    <w:rsid w:val="00235848"/>
    <w:rsid w:val="00240D6D"/>
    <w:rsid w:val="00257A02"/>
    <w:rsid w:val="002639CA"/>
    <w:rsid w:val="00266974"/>
    <w:rsid w:val="00292769"/>
    <w:rsid w:val="00296250"/>
    <w:rsid w:val="002A4678"/>
    <w:rsid w:val="002A6130"/>
    <w:rsid w:val="002B4D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E1491"/>
    <w:rsid w:val="00407730"/>
    <w:rsid w:val="00412058"/>
    <w:rsid w:val="0042254A"/>
    <w:rsid w:val="00474757"/>
    <w:rsid w:val="00486EFF"/>
    <w:rsid w:val="004F4688"/>
    <w:rsid w:val="004F54EE"/>
    <w:rsid w:val="00504BDD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5BF2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87A16"/>
    <w:rsid w:val="007A1202"/>
    <w:rsid w:val="007D3E97"/>
    <w:rsid w:val="007D6146"/>
    <w:rsid w:val="00812F58"/>
    <w:rsid w:val="008375DD"/>
    <w:rsid w:val="00837ABF"/>
    <w:rsid w:val="00844C21"/>
    <w:rsid w:val="008552EB"/>
    <w:rsid w:val="00861229"/>
    <w:rsid w:val="008664B3"/>
    <w:rsid w:val="00873AF9"/>
    <w:rsid w:val="008875A8"/>
    <w:rsid w:val="00897167"/>
    <w:rsid w:val="008B6839"/>
    <w:rsid w:val="008C73D1"/>
    <w:rsid w:val="008D5A6F"/>
    <w:rsid w:val="00910175"/>
    <w:rsid w:val="00913AF7"/>
    <w:rsid w:val="009168BE"/>
    <w:rsid w:val="00920750"/>
    <w:rsid w:val="00922D6D"/>
    <w:rsid w:val="00934EE5"/>
    <w:rsid w:val="00955459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735CB"/>
    <w:rsid w:val="00A8074D"/>
    <w:rsid w:val="00A83BD2"/>
    <w:rsid w:val="00A925F6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A491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464CD"/>
    <w:rsid w:val="00F506F8"/>
    <w:rsid w:val="00F56AFE"/>
    <w:rsid w:val="00F85FF5"/>
    <w:rsid w:val="00F8725E"/>
    <w:rsid w:val="00F93E10"/>
    <w:rsid w:val="00F94DDD"/>
    <w:rsid w:val="00FB1E25"/>
    <w:rsid w:val="00FC0F45"/>
    <w:rsid w:val="00FC7093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09A05-4A77-4BAE-8326-E1443D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E4EB91-C592-4FCA-BC05-A7DC98E1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2019-05-16T07:26:00Z</cp:lastPrinted>
  <dcterms:created xsi:type="dcterms:W3CDTF">2021-06-21T05:38:00Z</dcterms:created>
  <dcterms:modified xsi:type="dcterms:W3CDTF">2021-06-21T05:38:00Z</dcterms:modified>
</cp:coreProperties>
</file>