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30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Darina Němečková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0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neziskových organizací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D0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D0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07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B31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31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E60A8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E60A8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E60A8" w:rsidRDefault="006847E2" w:rsidP="00C50B27">
            <w:pPr>
              <w:jc w:val="center"/>
              <w:rPr>
                <w:sz w:val="22"/>
                <w:szCs w:val="22"/>
              </w:rPr>
            </w:pPr>
            <w:r w:rsidRPr="007E60A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B31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31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DB31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31B1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B31B1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31B1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B31B1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B31B1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E60A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E60A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E60A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E60A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D54E5" w:rsidRDefault="0055255D" w:rsidP="00C50B27">
            <w:pPr>
              <w:jc w:val="center"/>
              <w:rPr>
                <w:sz w:val="22"/>
                <w:szCs w:val="22"/>
              </w:rPr>
            </w:pPr>
            <w:r w:rsidRPr="006D54E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D54E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D54E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E60A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E60A8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D54E5" w:rsidRDefault="00B411DB" w:rsidP="00514664">
            <w:pPr>
              <w:jc w:val="center"/>
              <w:rPr>
                <w:sz w:val="22"/>
                <w:szCs w:val="22"/>
              </w:rPr>
            </w:pPr>
            <w:r w:rsidRPr="006D54E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D54E5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D54E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6D54E5" w:rsidRDefault="00B411DB" w:rsidP="00C50B27">
            <w:pPr>
              <w:jc w:val="center"/>
              <w:rPr>
                <w:sz w:val="22"/>
                <w:szCs w:val="22"/>
              </w:rPr>
            </w:pPr>
            <w:r w:rsidRPr="006D54E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6D54E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D54E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7046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7046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7046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B55B1" w:rsidP="00A70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3B55B1" w:rsidRPr="00C50B27" w:rsidRDefault="003B55B1" w:rsidP="00A70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pracovní spokojenosti je v rámci závěrečných prací oblíbené, je proto obtížné k němu vytvořit zcela originální teoretickou část. </w:t>
            </w:r>
            <w:r w:rsidR="00DB31B1">
              <w:rPr>
                <w:sz w:val="22"/>
                <w:szCs w:val="22"/>
              </w:rPr>
              <w:t xml:space="preserve">Ačkoli se jedná o kompilát, autorka střídá různorodé zdroje (včetně cizojazyčných) a uvádí jejich četné citace. </w:t>
            </w:r>
            <w:r>
              <w:rPr>
                <w:sz w:val="22"/>
                <w:szCs w:val="22"/>
              </w:rPr>
              <w:t xml:space="preserve">Teoretická část je zaměřena na klasické pojetí pracovní spokojenosti a jejích souvislostí s pracovní motivací. Téma je </w:t>
            </w:r>
            <w:r w:rsidR="00DB31B1">
              <w:rPr>
                <w:sz w:val="22"/>
                <w:szCs w:val="22"/>
              </w:rPr>
              <w:t xml:space="preserve">stručně </w:t>
            </w:r>
            <w:r>
              <w:rPr>
                <w:sz w:val="22"/>
                <w:szCs w:val="22"/>
              </w:rPr>
              <w:t>navázáno na neziskové organizace</w:t>
            </w:r>
            <w:r w:rsidR="00DB31B1">
              <w:rPr>
                <w:sz w:val="22"/>
                <w:szCs w:val="22"/>
              </w:rPr>
              <w:t xml:space="preserve"> a jejich specifika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DB31B1" w:rsidP="00A704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průzkum s využitím standardizovaného nástroje, autorka tedy měla jasně danou metodiku, kterou bylo třeba aplikovat na její výzkumný soubor,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r w:rsidR="007E60A8">
              <w:rPr>
                <w:sz w:val="22"/>
                <w:szCs w:val="22"/>
              </w:rPr>
              <w:t>vyhodnotit a interpretovat. Postup šetření</w:t>
            </w:r>
            <w:r>
              <w:rPr>
                <w:sz w:val="22"/>
                <w:szCs w:val="22"/>
              </w:rPr>
              <w:t xml:space="preserve"> je prezentován logicky, systematicky</w:t>
            </w:r>
            <w:r w:rsidR="007E60A8">
              <w:rPr>
                <w:sz w:val="22"/>
                <w:szCs w:val="22"/>
              </w:rPr>
              <w:t xml:space="preserve">. Výstupy šetření mají také logickou strukturu, až na drobné nedostatky (např. všechny grafy zbytečně nesou totožné označení „Celkem“, autorka </w:t>
            </w:r>
            <w:r w:rsidR="00A70465">
              <w:rPr>
                <w:sz w:val="22"/>
                <w:szCs w:val="22"/>
              </w:rPr>
              <w:t xml:space="preserve">neinterpretuje </w:t>
            </w:r>
            <w:r w:rsidR="006D54E5">
              <w:rPr>
                <w:sz w:val="22"/>
                <w:szCs w:val="22"/>
              </w:rPr>
              <w:t xml:space="preserve">uváděné </w:t>
            </w:r>
            <w:r w:rsidR="00A70465">
              <w:rPr>
                <w:sz w:val="22"/>
                <w:szCs w:val="22"/>
              </w:rPr>
              <w:t>směrodatné odchylky</w:t>
            </w:r>
            <w:r w:rsidR="007E60A8">
              <w:rPr>
                <w:sz w:val="22"/>
                <w:szCs w:val="22"/>
              </w:rPr>
              <w:t>)</w:t>
            </w:r>
            <w:r w:rsidR="00A70465">
              <w:rPr>
                <w:sz w:val="22"/>
                <w:szCs w:val="22"/>
              </w:rPr>
              <w:t>. Analýza mohla jít více do hloubky (např. porovnat vybrané skupiny respondentů), stejně tak interpretace (např. diskutovat autorčiny výsledky v kontextu výsledků jiných podobných šetření). Oceňuji zpracování doporučení pro praxi. Mohly být zmíněny metodologické limity šetření.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704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metodologické limity má Vámi zpracované výzkumné šetření?</w:t>
            </w:r>
          </w:p>
          <w:p w:rsidR="00B411DB" w:rsidRPr="00C50B27" w:rsidRDefault="00A704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zhodnotit použitý výzkumný nástroj (JSS). Doporučila byste pro účely šetření v neziskové sféře nějakou jeho modifikaci?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7046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70465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0465">
              <w:rPr>
                <w:sz w:val="22"/>
                <w:szCs w:val="22"/>
              </w:rPr>
              <w:t xml:space="preserve"> 24. 6. 2020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B8" w:rsidRDefault="001A4AB8">
      <w:r>
        <w:separator/>
      </w:r>
    </w:p>
  </w:endnote>
  <w:endnote w:type="continuationSeparator" w:id="0">
    <w:p w:rsidR="001A4AB8" w:rsidRDefault="001A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B8" w:rsidRDefault="001A4AB8">
      <w:r>
        <w:separator/>
      </w:r>
    </w:p>
  </w:footnote>
  <w:footnote w:type="continuationSeparator" w:id="0">
    <w:p w:rsidR="001A4AB8" w:rsidRDefault="001A4AB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D"/>
    <w:rsid w:val="000E2C47"/>
    <w:rsid w:val="001A4AB8"/>
    <w:rsid w:val="00362AB0"/>
    <w:rsid w:val="003B55B1"/>
    <w:rsid w:val="003F5DA2"/>
    <w:rsid w:val="00512982"/>
    <w:rsid w:val="00514664"/>
    <w:rsid w:val="00526D47"/>
    <w:rsid w:val="0055255D"/>
    <w:rsid w:val="005C219A"/>
    <w:rsid w:val="006847E2"/>
    <w:rsid w:val="006D54E5"/>
    <w:rsid w:val="00730C1A"/>
    <w:rsid w:val="007E60A8"/>
    <w:rsid w:val="00A70465"/>
    <w:rsid w:val="00A9305D"/>
    <w:rsid w:val="00B411DB"/>
    <w:rsid w:val="00BA3203"/>
    <w:rsid w:val="00C03D7D"/>
    <w:rsid w:val="00C50B27"/>
    <w:rsid w:val="00CD07C1"/>
    <w:rsid w:val="00D62416"/>
    <w:rsid w:val="00DB31B1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B1414"/>
  <w15:chartTrackingRefBased/>
  <w15:docId w15:val="{610C5907-AA36-4833-83D4-D292E738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ky%20DP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57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 Kočvarová</dc:creator>
  <cp:keywords/>
  <cp:lastModifiedBy>Ilona Kočvarová</cp:lastModifiedBy>
  <cp:revision>3</cp:revision>
  <cp:lastPrinted>2012-04-25T08:21:00Z</cp:lastPrinted>
  <dcterms:created xsi:type="dcterms:W3CDTF">2020-06-24T07:27:00Z</dcterms:created>
  <dcterms:modified xsi:type="dcterms:W3CDTF">2020-06-24T08:25:00Z</dcterms:modified>
</cp:coreProperties>
</file>