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D18DB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18DB">
              <w:rPr>
                <w:rFonts w:ascii="Calibri" w:hAnsi="Calibri" w:cs="Calibri"/>
                <w:b/>
                <w:sz w:val="24"/>
                <w:szCs w:val="24"/>
              </w:rPr>
              <w:t>Bc. Barbora Brožková, DiS.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D18D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D18DB">
              <w:rPr>
                <w:rFonts w:ascii="Calibri" w:hAnsi="Calibri" w:cs="Calibri"/>
                <w:b/>
                <w:sz w:val="24"/>
                <w:szCs w:val="24"/>
              </w:rPr>
              <w:t>Analýza green marketingu výrobkové řady Garnier Organic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Ph.D.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12577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983434" r:id="rId8"/>
        </w:object>
      </w:r>
    </w:p>
    <w:p w:rsidR="00125774" w:rsidRDefault="00B0183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0183E">
        <w:rPr>
          <w:rFonts w:ascii="Calibri" w:hAnsi="Calibri" w:cs="Calibri"/>
          <w:sz w:val="24"/>
          <w:szCs w:val="24"/>
        </w:rPr>
        <w:t>Předložená práce</w:t>
      </w:r>
      <w:r>
        <w:rPr>
          <w:rFonts w:ascii="Calibri" w:hAnsi="Calibri" w:cs="Calibri"/>
          <w:sz w:val="24"/>
          <w:szCs w:val="24"/>
        </w:rPr>
        <w:t xml:space="preserve"> se vyznačuje snahou autorky pojmout téma co nekomplexněji, nicméně bohužel je výsledkem snažení velice nevyvážený text. Teoretická část vůbec nepokrývá zásadní </w:t>
      </w:r>
      <w:r w:rsidR="00125774">
        <w:rPr>
          <w:rFonts w:ascii="Calibri" w:hAnsi="Calibri" w:cs="Calibri"/>
          <w:sz w:val="24"/>
          <w:szCs w:val="24"/>
        </w:rPr>
        <w:t xml:space="preserve">témata, jakými jsou například reklamní apely, druhy argumentace v závislosti na produktu a cílové skupině a cílech reklamy apod. Dále zde absolutně chybí teoretická východiska pro realizaci výzkumných šetření, dotazníku a focus group. Celá teoretická část se nachází na necelých 11 stranách, což je pro diplomovou práci zoufale málo, navíc ze zmiňovaných </w:t>
      </w:r>
      <w:r w:rsidR="004F7968">
        <w:rPr>
          <w:rFonts w:ascii="Calibri" w:hAnsi="Calibri" w:cs="Calibri"/>
          <w:sz w:val="24"/>
          <w:szCs w:val="24"/>
        </w:rPr>
        <w:t>11 stran</w:t>
      </w:r>
      <w:r w:rsidR="00125774">
        <w:rPr>
          <w:rFonts w:ascii="Calibri" w:hAnsi="Calibri" w:cs="Calibri"/>
          <w:sz w:val="24"/>
          <w:szCs w:val="24"/>
        </w:rPr>
        <w:t xml:space="preserve"> dvě strany tvoří případová studie konkurenta, která kromě toho, že postrádá odkaz na zdroj, v teoretické části v této podobě nemá co dělat. </w:t>
      </w:r>
    </w:p>
    <w:p w:rsidR="00125774" w:rsidRDefault="00125774" w:rsidP="008242D2">
      <w:pPr>
        <w:spacing w:before="120" w:after="60"/>
        <w:jc w:val="both"/>
        <w:outlineLvl w:val="0"/>
        <w:rPr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Struktura práce je velice problematická. Je nepřehledná a nelogická. Praktická část by měla začínat představení</w:t>
      </w:r>
      <w:r w:rsidR="00C62EAA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značky, nikoliv analýzou její komunikace a až posléze </w:t>
      </w:r>
      <w:r w:rsidR="00C62EAA">
        <w:rPr>
          <w:rFonts w:ascii="Calibri" w:hAnsi="Calibri" w:cs="Calibri"/>
          <w:sz w:val="24"/>
          <w:szCs w:val="24"/>
        </w:rPr>
        <w:t xml:space="preserve">pokračovat </w:t>
      </w:r>
      <w:r>
        <w:rPr>
          <w:rFonts w:ascii="Calibri" w:hAnsi="Calibri" w:cs="Calibri"/>
          <w:sz w:val="24"/>
          <w:szCs w:val="24"/>
        </w:rPr>
        <w:t xml:space="preserve">jejím představením. I to představení by však mělo odkazovat na relevantní zdroje. Například tato informace: </w:t>
      </w:r>
      <w:r w:rsidR="00B0183E" w:rsidRPr="00B0183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</w:t>
      </w:r>
      <w:r w:rsidRPr="00125774">
        <w:rPr>
          <w:rFonts w:asciiTheme="minorHAnsi" w:hAnsiTheme="minorHAnsi" w:cstheme="minorHAnsi"/>
          <w:i/>
          <w:sz w:val="24"/>
          <w:szCs w:val="23"/>
        </w:rPr>
        <w:t xml:space="preserve">Z důvodu odkoupení firmy Garnier společností L’Oréal v sedmdesátých letech je nyní tato firma automaticky spojena se všemi kontroverzemi, kterými si L’Oréal prošel. Když se tedy konzumenti </w:t>
      </w:r>
      <w:r w:rsidRPr="00125774">
        <w:rPr>
          <w:rFonts w:asciiTheme="minorHAnsi" w:hAnsiTheme="minorHAnsi" w:cstheme="minorHAnsi"/>
          <w:i/>
          <w:sz w:val="24"/>
          <w:szCs w:val="24"/>
        </w:rPr>
        <w:t>výrobků Garnier potýkají s otázkou, jak na ně Garnier působí, nehodnotí ji jako příliš důvěryhodnou.“</w:t>
      </w:r>
      <w:r w:rsidRPr="00125774">
        <w:rPr>
          <w:rFonts w:asciiTheme="minorHAnsi" w:hAnsiTheme="minorHAnsi" w:cstheme="minorHAnsi"/>
          <w:sz w:val="24"/>
          <w:szCs w:val="24"/>
        </w:rPr>
        <w:t xml:space="preserve"> (str. 34) či </w:t>
      </w:r>
      <w:r w:rsidRPr="00125774">
        <w:rPr>
          <w:rFonts w:asciiTheme="minorHAnsi" w:hAnsiTheme="minorHAnsi" w:cstheme="minorHAnsi"/>
          <w:i/>
          <w:sz w:val="24"/>
          <w:szCs w:val="24"/>
        </w:rPr>
        <w:t xml:space="preserve">„Garnier není v mysli konzumentů zakořeněna jako přírodní a environmentálně ohleduplná značka, přes její snahu se takto prezentovat. </w:t>
      </w:r>
      <w:r w:rsidRPr="004F7968">
        <w:rPr>
          <w:rFonts w:asciiTheme="minorHAnsi" w:hAnsiTheme="minorHAnsi" w:cstheme="minorHAnsi"/>
          <w:i/>
          <w:sz w:val="24"/>
          <w:szCs w:val="24"/>
        </w:rPr>
        <w:t>Kontroverzní chování spojené s její mateřskou společností navíc vyvolává další pochybnosti v očích zákazníků“</w:t>
      </w:r>
      <w:r w:rsidRPr="004F7968">
        <w:rPr>
          <w:rFonts w:asciiTheme="minorHAnsi" w:hAnsiTheme="minorHAnsi" w:cstheme="minorHAnsi"/>
          <w:sz w:val="24"/>
          <w:szCs w:val="24"/>
        </w:rPr>
        <w:t xml:space="preserve"> (str. 35), to je prosím podloženo čím?</w:t>
      </w:r>
      <w:r w:rsidRPr="004F7968">
        <w:rPr>
          <w:rFonts w:asciiTheme="minorHAnsi" w:hAnsiTheme="minorHAnsi" w:cstheme="minorHAnsi"/>
          <w:sz w:val="23"/>
          <w:szCs w:val="23"/>
        </w:rPr>
        <w:t xml:space="preserve"> Kolik lidí v ČR ví, že Garnier je součástí L’oreal? V představení společnosti se navíc objevují i zjištění z focus group, což odporuje logice věci – že nejprve je třeba nastudovat si informace o společnosti a pak o ní lze dělat výzkum.</w:t>
      </w:r>
    </w:p>
    <w:p w:rsidR="00132E69" w:rsidRDefault="00125774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3"/>
        </w:rPr>
      </w:pPr>
      <w:r>
        <w:rPr>
          <w:rFonts w:asciiTheme="minorHAnsi" w:hAnsiTheme="minorHAnsi" w:cstheme="minorHAnsi"/>
          <w:sz w:val="24"/>
          <w:szCs w:val="23"/>
        </w:rPr>
        <w:t>M</w:t>
      </w:r>
      <w:r w:rsidRPr="00125774">
        <w:rPr>
          <w:rFonts w:asciiTheme="minorHAnsi" w:hAnsiTheme="minorHAnsi" w:cstheme="minorHAnsi"/>
          <w:sz w:val="24"/>
          <w:szCs w:val="23"/>
        </w:rPr>
        <w:t>etody analýzy</w:t>
      </w:r>
      <w:r>
        <w:rPr>
          <w:rFonts w:asciiTheme="minorHAnsi" w:hAnsiTheme="minorHAnsi" w:cstheme="minorHAnsi"/>
          <w:sz w:val="24"/>
          <w:szCs w:val="23"/>
        </w:rPr>
        <w:t xml:space="preserve"> jsou pak dalším problémem. „Analýza“ podle sedmi hříchů není analýzou, nemá stanovena žádná kritéria. Autorka pouze podle „scénáře“ namátkov</w:t>
      </w:r>
      <w:r w:rsidR="00C62EAA">
        <w:rPr>
          <w:rFonts w:asciiTheme="minorHAnsi" w:hAnsiTheme="minorHAnsi" w:cstheme="minorHAnsi"/>
          <w:sz w:val="24"/>
          <w:szCs w:val="23"/>
        </w:rPr>
        <w:t>ě hledá, jestli najde něco, co b</w:t>
      </w:r>
      <w:r>
        <w:rPr>
          <w:rFonts w:asciiTheme="minorHAnsi" w:hAnsiTheme="minorHAnsi" w:cstheme="minorHAnsi"/>
          <w:sz w:val="24"/>
          <w:szCs w:val="23"/>
        </w:rPr>
        <w:t>y v komunikaci společnosti, sedělo na tyto hříchy. Není v tom však žádný systém a tedy výsledky této „analýzy“ nejsou relevantní. Kromě toho tato analýza neobsahuje téměř žádné odkazy na zdroje.</w:t>
      </w:r>
    </w:p>
    <w:p w:rsidR="00132E69" w:rsidRDefault="00132E69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3"/>
        </w:rPr>
      </w:pPr>
      <w:r>
        <w:rPr>
          <w:rFonts w:asciiTheme="minorHAnsi" w:hAnsiTheme="minorHAnsi" w:cstheme="minorHAnsi"/>
          <w:sz w:val="24"/>
          <w:szCs w:val="23"/>
        </w:rPr>
        <w:lastRenderedPageBreak/>
        <w:t xml:space="preserve">Pokud by se autorka v teoretické části věnovala rešerši k tématu marketingového výzkumu, jistě by se dozvěděla, že obvyklé pořadí analýz je kvantitativní šetření a jeho zpřesněním je následné kvalitativní, založené právě na výsledcích kvantitativního. Neumím si představit, jaké důvody vedly autorku k obrácenému pořadí a k tomu, že jsou obě analýzy realizovány v podstatě nezávisle na sobě. A ani v závěrečném vyhodnocení </w:t>
      </w:r>
      <w:r w:rsidR="00C62EAA">
        <w:rPr>
          <w:rFonts w:asciiTheme="minorHAnsi" w:hAnsiTheme="minorHAnsi" w:cstheme="minorHAnsi"/>
          <w:sz w:val="24"/>
          <w:szCs w:val="23"/>
        </w:rPr>
        <w:t>nejsou jejich výsledky ni</w:t>
      </w:r>
      <w:r>
        <w:rPr>
          <w:rFonts w:asciiTheme="minorHAnsi" w:hAnsiTheme="minorHAnsi" w:cstheme="minorHAnsi"/>
          <w:sz w:val="24"/>
          <w:szCs w:val="23"/>
        </w:rPr>
        <w:t xml:space="preserve">jak přehledně srovnány. </w:t>
      </w:r>
    </w:p>
    <w:p w:rsidR="00421E44" w:rsidRDefault="00132E69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3"/>
        </w:rPr>
      </w:pPr>
      <w:r>
        <w:rPr>
          <w:rFonts w:asciiTheme="minorHAnsi" w:hAnsiTheme="minorHAnsi" w:cstheme="minorHAnsi"/>
          <w:sz w:val="24"/>
          <w:szCs w:val="23"/>
        </w:rPr>
        <w:t xml:space="preserve">Dotazníkové </w:t>
      </w:r>
      <w:r w:rsidRPr="00421E44">
        <w:rPr>
          <w:rFonts w:asciiTheme="minorHAnsi" w:hAnsiTheme="minorHAnsi" w:cstheme="minorHAnsi"/>
          <w:sz w:val="24"/>
          <w:szCs w:val="23"/>
          <w:u w:val="single"/>
        </w:rPr>
        <w:t>kvantitativní</w:t>
      </w:r>
      <w:r>
        <w:rPr>
          <w:rFonts w:asciiTheme="minorHAnsi" w:hAnsiTheme="minorHAnsi" w:cstheme="minorHAnsi"/>
          <w:sz w:val="24"/>
          <w:szCs w:val="23"/>
        </w:rPr>
        <w:t xml:space="preserve"> šetření – 43 respondentů? Opravdu? S tímto počtem respondentů by výsledky tohoto šetření byly zajímavým předvýzkumem pro realizaci focus group, ale rozhodně neobstojí jako plnohodnotná samostatná analýza.</w:t>
      </w:r>
      <w:r w:rsidR="00EE7FF5">
        <w:rPr>
          <w:rFonts w:asciiTheme="minorHAnsi" w:hAnsiTheme="minorHAnsi" w:cstheme="minorHAnsi"/>
          <w:sz w:val="24"/>
          <w:szCs w:val="23"/>
        </w:rPr>
        <w:t xml:space="preserve"> </w:t>
      </w:r>
    </w:p>
    <w:p w:rsidR="000215FA" w:rsidRDefault="00421E44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3"/>
        </w:rPr>
      </w:pPr>
      <w:r>
        <w:rPr>
          <w:rFonts w:asciiTheme="minorHAnsi" w:hAnsiTheme="minorHAnsi" w:cstheme="minorHAnsi"/>
          <w:sz w:val="24"/>
          <w:szCs w:val="23"/>
        </w:rPr>
        <w:t xml:space="preserve">Obecně – </w:t>
      </w:r>
      <w:r w:rsidR="00C62EAA">
        <w:rPr>
          <w:rFonts w:asciiTheme="minorHAnsi" w:hAnsiTheme="minorHAnsi" w:cstheme="minorHAnsi"/>
          <w:sz w:val="24"/>
          <w:szCs w:val="23"/>
        </w:rPr>
        <w:t>co je tedy cílem? A</w:t>
      </w:r>
      <w:r>
        <w:rPr>
          <w:rFonts w:asciiTheme="minorHAnsi" w:hAnsiTheme="minorHAnsi" w:cstheme="minorHAnsi"/>
          <w:sz w:val="24"/>
          <w:szCs w:val="23"/>
        </w:rPr>
        <w:t>nalyz</w:t>
      </w:r>
      <w:r w:rsidR="00C62EAA">
        <w:rPr>
          <w:rFonts w:asciiTheme="minorHAnsi" w:hAnsiTheme="minorHAnsi" w:cstheme="minorHAnsi"/>
          <w:sz w:val="24"/>
          <w:szCs w:val="23"/>
        </w:rPr>
        <w:t>ovat</w:t>
      </w:r>
      <w:r>
        <w:rPr>
          <w:rFonts w:asciiTheme="minorHAnsi" w:hAnsiTheme="minorHAnsi" w:cstheme="minorHAnsi"/>
          <w:sz w:val="24"/>
          <w:szCs w:val="23"/>
        </w:rPr>
        <w:t xml:space="preserve"> produkty nebo jejich maketingovou komunikaci? A pokud celý marketing, jak je v názvu práce, kde je analýza dalších P – ceny, </w:t>
      </w:r>
      <w:r w:rsidR="00B3193B">
        <w:rPr>
          <w:rFonts w:asciiTheme="minorHAnsi" w:hAnsiTheme="minorHAnsi" w:cstheme="minorHAnsi"/>
          <w:sz w:val="24"/>
          <w:szCs w:val="23"/>
        </w:rPr>
        <w:t>distribuce? Projektová č</w:t>
      </w:r>
      <w:r w:rsidR="00C62EAA">
        <w:rPr>
          <w:rFonts w:asciiTheme="minorHAnsi" w:hAnsiTheme="minorHAnsi" w:cstheme="minorHAnsi"/>
          <w:sz w:val="24"/>
          <w:szCs w:val="23"/>
        </w:rPr>
        <w:t>ást navrhuje úplně nový produkt.</w:t>
      </w:r>
      <w:r w:rsidR="00B3193B">
        <w:rPr>
          <w:rFonts w:asciiTheme="minorHAnsi" w:hAnsiTheme="minorHAnsi" w:cstheme="minorHAnsi"/>
          <w:sz w:val="24"/>
          <w:szCs w:val="23"/>
        </w:rPr>
        <w:t xml:space="preserve"> Je toto v moci marketingového specialisty</w:t>
      </w:r>
      <w:r w:rsidR="00C62EAA">
        <w:rPr>
          <w:rFonts w:asciiTheme="minorHAnsi" w:hAnsiTheme="minorHAnsi" w:cstheme="minorHAnsi"/>
          <w:sz w:val="24"/>
          <w:szCs w:val="23"/>
        </w:rPr>
        <w:t xml:space="preserve"> (nastavovat chemické složení a vlastnosti produktu)</w:t>
      </w:r>
      <w:r w:rsidR="00B3193B">
        <w:rPr>
          <w:rFonts w:asciiTheme="minorHAnsi" w:hAnsiTheme="minorHAnsi" w:cstheme="minorHAnsi"/>
          <w:sz w:val="24"/>
          <w:szCs w:val="23"/>
        </w:rPr>
        <w:t xml:space="preserve">?   </w:t>
      </w:r>
    </w:p>
    <w:p w:rsidR="00B0183E" w:rsidRPr="000215FA" w:rsidRDefault="004F7968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3"/>
        </w:rPr>
      </w:pPr>
      <w:r>
        <w:rPr>
          <w:rFonts w:asciiTheme="minorHAnsi" w:hAnsiTheme="minorHAnsi" w:cstheme="minorHAnsi"/>
          <w:sz w:val="24"/>
          <w:szCs w:val="23"/>
        </w:rPr>
        <w:t xml:space="preserve">V celé práci je znát velké nadšení autorky pro problematiku, o to větší je škoda, že práce tomu svou kvalitou neodpovídá. </w:t>
      </w:r>
      <w:r w:rsidR="00125774" w:rsidRPr="00125774">
        <w:rPr>
          <w:rFonts w:asciiTheme="minorHAnsi" w:hAnsiTheme="minorHAnsi" w:cstheme="minorHAnsi"/>
          <w:sz w:val="24"/>
          <w:szCs w:val="23"/>
        </w:rPr>
        <w:t xml:space="preserve">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4F7968" w:rsidRPr="004F7968" w:rsidRDefault="004F7968" w:rsidP="004F796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F7968">
        <w:rPr>
          <w:rFonts w:ascii="Calibri" w:hAnsi="Calibri" w:cs="Calibri"/>
          <w:sz w:val="24"/>
          <w:szCs w:val="24"/>
        </w:rPr>
        <w:t>Osobní angažovanost autorky v dané problematice</w:t>
      </w:r>
    </w:p>
    <w:p w:rsidR="004F7968" w:rsidRPr="004F7968" w:rsidRDefault="004F7968" w:rsidP="004F796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F7968">
        <w:rPr>
          <w:rFonts w:ascii="Calibri" w:hAnsi="Calibri" w:cs="Calibri"/>
          <w:sz w:val="24"/>
          <w:szCs w:val="24"/>
        </w:rPr>
        <w:t xml:space="preserve">Provedení a vyhodnocení focus group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4F7968" w:rsidRDefault="004F7968" w:rsidP="004F796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Nedostatečná teoretická část, ja</w:t>
      </w:r>
      <w:r w:rsidR="00C62EAA">
        <w:rPr>
          <w:rFonts w:ascii="Calibri" w:hAnsi="Calibri" w:cs="Calibri"/>
          <w:sz w:val="24"/>
          <w:szCs w:val="24"/>
        </w:rPr>
        <w:t xml:space="preserve">k co do rozsahu, tak zejména </w:t>
      </w:r>
      <w:r>
        <w:rPr>
          <w:rFonts w:ascii="Calibri" w:hAnsi="Calibri" w:cs="Calibri"/>
          <w:sz w:val="24"/>
          <w:szCs w:val="24"/>
        </w:rPr>
        <w:t>co</w:t>
      </w:r>
      <w:r w:rsidR="00C62EAA">
        <w:rPr>
          <w:rFonts w:ascii="Calibri" w:hAnsi="Calibri" w:cs="Calibri"/>
          <w:sz w:val="24"/>
          <w:szCs w:val="24"/>
        </w:rPr>
        <w:t xml:space="preserve"> do</w:t>
      </w:r>
      <w:r>
        <w:rPr>
          <w:rFonts w:ascii="Calibri" w:hAnsi="Calibri" w:cs="Calibri"/>
          <w:sz w:val="24"/>
          <w:szCs w:val="24"/>
        </w:rPr>
        <w:t xml:space="preserve"> obsahu </w:t>
      </w:r>
    </w:p>
    <w:p w:rsidR="004F7968" w:rsidRDefault="004F7968" w:rsidP="004F796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Chybně nastavené analýzy – analýza podle sedmi hříchů není objektivní analýzou, dotazníkové šetření a focus group proběhly ve špatném pořadí, dotazníkové šetření disponuje velmi malým vzorkem respondentů </w:t>
      </w:r>
    </w:p>
    <w:p w:rsidR="006D6A90" w:rsidRPr="004F7968" w:rsidRDefault="004F7968" w:rsidP="004F796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 se z větší části věnuje vývoji nového produktu než komunikaci produktů, kterou </w:t>
      </w:r>
      <w:r w:rsidR="00C62EAA">
        <w:rPr>
          <w:rFonts w:ascii="Calibri" w:hAnsi="Calibri" w:cs="Calibri"/>
          <w:sz w:val="24"/>
          <w:szCs w:val="24"/>
        </w:rPr>
        <w:t xml:space="preserve">však autorka </w:t>
      </w:r>
      <w:r>
        <w:rPr>
          <w:rFonts w:ascii="Calibri" w:hAnsi="Calibri" w:cs="Calibri"/>
          <w:sz w:val="24"/>
          <w:szCs w:val="24"/>
        </w:rPr>
        <w:t>hodnotila</w:t>
      </w:r>
      <w:r w:rsidR="00C62EAA">
        <w:rPr>
          <w:rFonts w:ascii="Calibri" w:hAnsi="Calibri" w:cs="Calibri"/>
          <w:sz w:val="24"/>
          <w:szCs w:val="24"/>
        </w:rPr>
        <w:t xml:space="preserve"> v části analytické </w:t>
      </w:r>
      <w:r>
        <w:rPr>
          <w:rFonts w:ascii="Calibri" w:hAnsi="Calibri" w:cs="Calibri"/>
          <w:sz w:val="24"/>
          <w:szCs w:val="24"/>
        </w:rPr>
        <w:t xml:space="preserve"> 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4F7968" w:rsidRDefault="004F7968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 bylo přesně cílem práce? Analyzovat komunikaci nebo celý marketingový mix? (Cíl práce není v Metodice uveden).  </w:t>
      </w:r>
    </w:p>
    <w:p w:rsidR="006D6A90" w:rsidRDefault="004F7968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základě čeho hodnotíte, že na image značky Garnier v ČR mají negativní dopady kauzy jejího vlastníka? Kolik lidí v ČR ví, že Garnier spadá pod L’oreal?   </w:t>
      </w:r>
    </w:p>
    <w:p w:rsidR="006D6A90" w:rsidRDefault="00C62EAA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Prosím, prezentujte</w:t>
      </w:r>
      <w:r w:rsidR="004F79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stručné </w:t>
      </w:r>
      <w:r w:rsidR="004F7968">
        <w:rPr>
          <w:rFonts w:ascii="Calibri" w:hAnsi="Calibri" w:cs="Calibri"/>
          <w:sz w:val="24"/>
          <w:szCs w:val="24"/>
        </w:rPr>
        <w:t xml:space="preserve">přehledné srovnání výsledků ze všech tří „analýz“, v čem se shodují, v čem nikoliv. </w:t>
      </w:r>
    </w:p>
    <w:p w:rsidR="006D6A90" w:rsidRDefault="006D6A90" w:rsidP="004F7968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C62EAA">
        <w:rPr>
          <w:rFonts w:ascii="Calibri" w:hAnsi="Calibri" w:cs="Calibri"/>
          <w:sz w:val="24"/>
          <w:szCs w:val="24"/>
        </w:rPr>
        <w:t xml:space="preserve"> 26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0D" w:rsidRDefault="008F490D">
      <w:r>
        <w:separator/>
      </w:r>
    </w:p>
  </w:endnote>
  <w:endnote w:type="continuationSeparator" w:id="0">
    <w:p w:rsidR="008F490D" w:rsidRDefault="008F4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08477B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0D" w:rsidRDefault="008F490D">
      <w:r>
        <w:separator/>
      </w:r>
    </w:p>
  </w:footnote>
  <w:footnote w:type="continuationSeparator" w:id="0">
    <w:p w:rsidR="008F490D" w:rsidRDefault="008F4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263A9"/>
    <w:multiLevelType w:val="hybridMultilevel"/>
    <w:tmpl w:val="A1AA8E86"/>
    <w:lvl w:ilvl="0" w:tplc="F84E69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15FA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477B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5774"/>
    <w:rsid w:val="00131982"/>
    <w:rsid w:val="00132E69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5BA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1E44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7968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D7987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1B2E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18DB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490D"/>
    <w:rsid w:val="008F54B9"/>
    <w:rsid w:val="00907B9A"/>
    <w:rsid w:val="009109F6"/>
    <w:rsid w:val="00922C12"/>
    <w:rsid w:val="009249A5"/>
    <w:rsid w:val="00931B48"/>
    <w:rsid w:val="009378F2"/>
    <w:rsid w:val="00941D62"/>
    <w:rsid w:val="009558C7"/>
    <w:rsid w:val="00973462"/>
    <w:rsid w:val="009748BA"/>
    <w:rsid w:val="00984F2F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16F3"/>
    <w:rsid w:val="00AC0287"/>
    <w:rsid w:val="00AE5F6C"/>
    <w:rsid w:val="00AF23F4"/>
    <w:rsid w:val="00AF5110"/>
    <w:rsid w:val="00B0183E"/>
    <w:rsid w:val="00B01F32"/>
    <w:rsid w:val="00B05225"/>
    <w:rsid w:val="00B0625F"/>
    <w:rsid w:val="00B10BCB"/>
    <w:rsid w:val="00B2031F"/>
    <w:rsid w:val="00B249D9"/>
    <w:rsid w:val="00B302A7"/>
    <w:rsid w:val="00B3193B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EAA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73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E7FF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7CB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F7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13</cp:revision>
  <cp:lastPrinted>2010-04-15T13:27:00Z</cp:lastPrinted>
  <dcterms:created xsi:type="dcterms:W3CDTF">2020-08-15T20:47:00Z</dcterms:created>
  <dcterms:modified xsi:type="dcterms:W3CDTF">2020-08-26T19:41:00Z</dcterms:modified>
</cp:coreProperties>
</file>