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59"/>
        <w:gridCol w:w="377"/>
        <w:gridCol w:w="390"/>
        <w:gridCol w:w="390"/>
        <w:gridCol w:w="377"/>
        <w:gridCol w:w="339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Špalková</w:t>
            </w:r>
          </w:p>
        </w:tc>
      </w:tr>
      <w:tr w:rsidR="00C122CC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komiksů na hodinách přírodovědy</w:t>
            </w:r>
          </w:p>
        </w:tc>
      </w:tr>
      <w:tr w:rsidR="00C122CC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C122CC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C122CC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122CC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22CC" w:rsidRPr="00875DAF" w:rsidRDefault="00C122CC" w:rsidP="00C122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přináší zajímavé téma, které se vztahuje primárně k přírodovědnému vzdělávání, ale využití zkoumaného prostředku má vztah i </w:t>
            </w:r>
            <w:r w:rsidR="00DF29D4">
              <w:rPr>
                <w:rFonts w:ascii="Arial" w:hAnsi="Arial" w:cs="Arial"/>
              </w:rPr>
              <w:t xml:space="preserve">k </w:t>
            </w:r>
            <w:r>
              <w:rPr>
                <w:rFonts w:ascii="Arial" w:hAnsi="Arial" w:cs="Arial"/>
              </w:rPr>
              <w:t xml:space="preserve">rozvoji porozumění textu, takže se žádoucím způsobem narušuje pohled na </w:t>
            </w:r>
            <w:r w:rsidR="00DF29D4">
              <w:rPr>
                <w:rFonts w:ascii="Arial" w:hAnsi="Arial" w:cs="Arial"/>
              </w:rPr>
              <w:t xml:space="preserve">vyučovací </w:t>
            </w:r>
            <w:r>
              <w:rPr>
                <w:rFonts w:ascii="Arial" w:hAnsi="Arial" w:cs="Arial"/>
              </w:rPr>
              <w:t xml:space="preserve">předmět jako izolovanou jednotku. První kapitoly jsou pojaty poněkud zeširoka, ale alespoň jsou čtivé, výklad autorky se neomezuje na sled pojmů a jejich definic. Střídají se jasné a výstižné pasáže s vágními, některá slovní spojení se autorce nevydařila a narušují porozumění textu nebo požadavky odborného stylu (např. „zdůvodňovat získané hypotézy“ – s. 19; myšlenky J. A. Komenského a vzápětí hrubý nástin RVP jako základního </w:t>
            </w:r>
            <w:proofErr w:type="spellStart"/>
            <w:r>
              <w:rPr>
                <w:rFonts w:ascii="Arial" w:hAnsi="Arial" w:cs="Arial"/>
              </w:rPr>
              <w:t>kurikulárního</w:t>
            </w:r>
            <w:proofErr w:type="spellEnd"/>
            <w:r>
              <w:rPr>
                <w:rFonts w:ascii="Arial" w:hAnsi="Arial" w:cs="Arial"/>
              </w:rPr>
              <w:t xml:space="preserve"> dokumentu – s. 17; </w:t>
            </w:r>
            <w:r w:rsidRPr="007157F8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 xml:space="preserve">v závěrečné části je prezentován závěr“ – s. 12). Pojednání o didaktických prostředcích je nepřesvědčivé a zmatečné i ve vztahu k pojmům pomůcka a prostředek. Nejvíce na teoretickém vstupu oceňuji srovnání výhod a nevýhod komiksu ve výuce, ovšem i v kapitole věnované komiksu autorka přeskakuje z myšlenky na myšlenku a čtenář se poněkud ztrácí. Postrádám vyjádření ve vztahu </w:t>
            </w:r>
            <w:r>
              <w:rPr>
                <w:rFonts w:ascii="Arial" w:hAnsi="Arial" w:cs="Arial"/>
              </w:rPr>
              <w:lastRenderedPageBreak/>
              <w:t xml:space="preserve">k výzkumům, které by se využitím komiksu v přírodovědném vzdělávání zabývaly. V zahraničních zdrojích </w:t>
            </w:r>
            <w:r w:rsidR="00DF29D4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>je uvedena pouze jedna studie, přičemž téma je jistě zpracováno více autory mimo české prostředí.</w:t>
            </w:r>
          </w:p>
          <w:p w:rsidR="00C122CC" w:rsidRPr="00D759A6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podrobněji představuje participanty a oceňuji, že se autorka rozhodla zahrnout i pohled žáků. Samotné interpretaci dat je věnováno 12 stran textu a tato část práce se bohužel autorce nevydařila, působí dojmem, že nezbýval čas hlouběji se ponořit do rozhovorů. Možná je problém i to, že rozhovor v ukázce se věnuje více souvisejícím tématům, přímo ke komiksu se autorka dostává méně. Kategorie „materiálně-didaktické prostředky pomáhají“ o ničem nevypovídá, je jen lehkým odrazem teoretického vstupu, subkategorie 1 „</w:t>
            </w: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  <w:r>
              <w:rPr>
                <w:rFonts w:ascii="Arial" w:hAnsi="Arial" w:cs="Arial"/>
              </w:rPr>
              <w:t xml:space="preserve"> jako…“ je jen soupisem výpovědí učitelek a celkově neladí s danými výpověďmi. Zásadním zjištěním je to, že učitelky nevyužívají komiks v přírodovědě, ovšem nenabízí se ani autorčina interpretace, proč to tomu tak je. Zajímavé je závěrečné uspořádání pohledu žáka a učitele, ovšem s vágním shrnujícím komentářem autorky. Nepatří sem </w:t>
            </w:r>
            <w:bookmarkStart w:id="0" w:name="_GoBack"/>
            <w:bookmarkEnd w:id="0"/>
            <w:r>
              <w:rPr>
                <w:rFonts w:ascii="Arial" w:hAnsi="Arial" w:cs="Arial"/>
              </w:rPr>
              <w:t>opakovaná pasáž o kontaktování škol pro zajištění rozhovorů s učiteli.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obsahuje řadu pravopisných chyb, především ve větné interpunkci.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práci k obhajobě.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Vysvětlete pojem „didaktický nápad“.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Vysvětlete podrobněji kategorii popisující komiks jako zkratku. V kapitole 5.3.1 se vyjadřujete k motivačnímu potenciálu komiksu. Jak to souvisí se „zkratkou“?</w:t>
            </w:r>
          </w:p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C122CC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22CC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14. 5.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122CC" w:rsidRDefault="00C122CC" w:rsidP="00C122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B7" w:rsidRDefault="00464EB7" w:rsidP="00164469">
      <w:pPr>
        <w:spacing w:after="0" w:line="240" w:lineRule="auto"/>
      </w:pPr>
      <w:r>
        <w:separator/>
      </w:r>
    </w:p>
  </w:endnote>
  <w:endnote w:type="continuationSeparator" w:id="0">
    <w:p w:rsidR="00464EB7" w:rsidRDefault="00464EB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B7" w:rsidRDefault="00464EB7" w:rsidP="00164469">
      <w:pPr>
        <w:spacing w:after="0" w:line="240" w:lineRule="auto"/>
      </w:pPr>
      <w:r>
        <w:separator/>
      </w:r>
    </w:p>
  </w:footnote>
  <w:footnote w:type="continuationSeparator" w:id="0">
    <w:p w:rsidR="00464EB7" w:rsidRDefault="00464EB7" w:rsidP="00164469">
      <w:pPr>
        <w:spacing w:after="0" w:line="240" w:lineRule="auto"/>
      </w:pPr>
      <w:r>
        <w:continuationSeparator/>
      </w:r>
    </w:p>
  </w:footnote>
  <w:footnote w:id="1">
    <w:p w:rsidR="00C122CC" w:rsidRDefault="00C122CC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D5688"/>
    <w:rsid w:val="001221F9"/>
    <w:rsid w:val="00164469"/>
    <w:rsid w:val="001751B1"/>
    <w:rsid w:val="001A04A0"/>
    <w:rsid w:val="00264589"/>
    <w:rsid w:val="00333100"/>
    <w:rsid w:val="004326D7"/>
    <w:rsid w:val="00464EB7"/>
    <w:rsid w:val="004D1C11"/>
    <w:rsid w:val="005676FB"/>
    <w:rsid w:val="00572A8F"/>
    <w:rsid w:val="005B0DD1"/>
    <w:rsid w:val="00660620"/>
    <w:rsid w:val="00660E55"/>
    <w:rsid w:val="007B3852"/>
    <w:rsid w:val="00831BE7"/>
    <w:rsid w:val="00832719"/>
    <w:rsid w:val="0085298D"/>
    <w:rsid w:val="00875DAF"/>
    <w:rsid w:val="0088121A"/>
    <w:rsid w:val="00891BB8"/>
    <w:rsid w:val="00907A8D"/>
    <w:rsid w:val="009B77DC"/>
    <w:rsid w:val="009F1B98"/>
    <w:rsid w:val="00A96683"/>
    <w:rsid w:val="00C122CC"/>
    <w:rsid w:val="00C63786"/>
    <w:rsid w:val="00C8453B"/>
    <w:rsid w:val="00CA332E"/>
    <w:rsid w:val="00DB07CE"/>
    <w:rsid w:val="00DF29D4"/>
    <w:rsid w:val="00E267C9"/>
    <w:rsid w:val="00E76548"/>
    <w:rsid w:val="00EA6C2E"/>
    <w:rsid w:val="00F00809"/>
    <w:rsid w:val="00F10E8C"/>
    <w:rsid w:val="00F9096F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0FAB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4</cp:revision>
  <cp:lastPrinted>2018-04-21T18:26:00Z</cp:lastPrinted>
  <dcterms:created xsi:type="dcterms:W3CDTF">2021-05-15T10:22:00Z</dcterms:created>
  <dcterms:modified xsi:type="dcterms:W3CDTF">2021-05-15T10:30:00Z</dcterms:modified>
</cp:coreProperties>
</file>