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067C36B"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D5339">
        <w:rPr>
          <w:rFonts w:asciiTheme="minorHAnsi" w:hAnsiTheme="minorHAnsi" w:cstheme="minorHAnsi"/>
          <w:b/>
          <w:sz w:val="22"/>
          <w:szCs w:val="22"/>
        </w:rPr>
        <w:t>Bc. Veronika Korvasová</w:t>
      </w:r>
    </w:p>
    <w:p w14:paraId="00D6BB86" w14:textId="70F85750"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2329D7" w:rsidRPr="00B4254F">
        <w:rPr>
          <w:rFonts w:asciiTheme="minorHAnsi" w:hAnsiTheme="minorHAnsi" w:cstheme="minorHAnsi"/>
          <w:b/>
          <w:sz w:val="22"/>
          <w:szCs w:val="22"/>
        </w:rPr>
        <w:t>doc. Ing. Adriana Knápková, Ph.D.</w:t>
      </w:r>
    </w:p>
    <w:p w14:paraId="09E4DE65" w14:textId="45AF0621" w:rsidR="0073639B" w:rsidRDefault="0073639B" w:rsidP="003D5339">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3D5339">
        <w:rPr>
          <w:rFonts w:cstheme="minorHAnsi"/>
          <w:b/>
        </w:rPr>
        <w:t>Hodnocení efektivnosti investičního projektu v obchodní korporaci a návrh jeho financování</w:t>
      </w:r>
    </w:p>
    <w:p w14:paraId="35028D0F" w14:textId="1008A19B"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b/>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2329D7" w:rsidRPr="00B4254F">
            <w:rPr>
              <w:rFonts w:asciiTheme="minorHAnsi" w:hAnsiTheme="minorHAnsi" w:cstheme="minorHAnsi"/>
              <w:b/>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82B8FB4" w:rsidR="000E094A" w:rsidRDefault="00BA3ED5"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3A1D6881" w:rsidR="007E17F3"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C15CBA0" w14:textId="77777777" w:rsidR="004A1AEE" w:rsidRDefault="004A1AEE" w:rsidP="00CD12C3">
            <w:pPr>
              <w:tabs>
                <w:tab w:val="right" w:pos="8789"/>
              </w:tabs>
              <w:jc w:val="both"/>
              <w:rPr>
                <w:rFonts w:cstheme="minorHAnsi"/>
                <w:color w:val="0070C0"/>
              </w:rPr>
            </w:pPr>
          </w:p>
          <w:p w14:paraId="4A103C80" w14:textId="605FA908" w:rsidR="000E094A" w:rsidRPr="005B598E" w:rsidRDefault="002329D7" w:rsidP="00CD12C3">
            <w:pPr>
              <w:tabs>
                <w:tab w:val="right" w:pos="8789"/>
              </w:tabs>
              <w:jc w:val="both"/>
              <w:rPr>
                <w:rFonts w:cstheme="minorHAnsi"/>
              </w:rPr>
            </w:pPr>
            <w:r w:rsidRPr="004A1AEE">
              <w:rPr>
                <w:rFonts w:cstheme="minorHAnsi"/>
                <w:color w:val="0070C0"/>
              </w:rPr>
              <w:t>Cíle jsou v diplomové práci stanoveny jasně</w:t>
            </w:r>
            <w:r w:rsidR="006F2E8D">
              <w:rPr>
                <w:rFonts w:cstheme="minorHAnsi"/>
                <w:color w:val="0070C0"/>
              </w:rPr>
              <w:t xml:space="preserve">. Metody zpracování práce jsou </w:t>
            </w:r>
            <w:r w:rsidR="005F1992">
              <w:rPr>
                <w:rFonts w:cstheme="minorHAnsi"/>
                <w:color w:val="0070C0"/>
              </w:rPr>
              <w:t xml:space="preserve">rovněž </w:t>
            </w:r>
            <w:r w:rsidR="006F2E8D">
              <w:rPr>
                <w:rFonts w:cstheme="minorHAnsi"/>
                <w:color w:val="0070C0"/>
              </w:rPr>
              <w:t xml:space="preserve">popsány </w:t>
            </w:r>
            <w:r w:rsidR="005F1992">
              <w:rPr>
                <w:rFonts w:cstheme="minorHAnsi"/>
                <w:color w:val="0070C0"/>
              </w:rPr>
              <w:t>srozumitelně a logicky</w:t>
            </w:r>
            <w:r w:rsidRPr="004A1AEE">
              <w:rPr>
                <w:rFonts w:cstheme="minorHAnsi"/>
                <w:color w:val="0070C0"/>
              </w:rPr>
              <w:t>.</w:t>
            </w:r>
            <w:r w:rsidR="00BA3ED5">
              <w:rPr>
                <w:rFonts w:cstheme="minorHAnsi"/>
                <w:color w:val="0070C0"/>
              </w:rPr>
              <w:t xml:space="preserve"> Cíle práce jsou stanoveny v souladu s tématem diplomové práce. </w:t>
            </w:r>
            <w:r w:rsidR="005B598E" w:rsidRPr="004A1AEE">
              <w:rPr>
                <w:rFonts w:cstheme="minorHAnsi"/>
                <w:color w:val="0070C0"/>
              </w:rPr>
              <w:t xml:space="preserve">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DC5E292" w:rsidR="000E094A" w:rsidRDefault="00BA3ED5"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178765D0"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262AF310" w14:textId="77777777" w:rsidR="004A1AEE" w:rsidRDefault="004A1AEE" w:rsidP="00CD12C3">
            <w:pPr>
              <w:tabs>
                <w:tab w:val="right" w:pos="8789"/>
              </w:tabs>
              <w:jc w:val="both"/>
              <w:rPr>
                <w:rFonts w:cstheme="minorHAnsi"/>
                <w:color w:val="0070C0"/>
              </w:rPr>
            </w:pPr>
          </w:p>
          <w:p w14:paraId="38CF0C76" w14:textId="7A5EB252" w:rsidR="000E094A" w:rsidRPr="000E094A" w:rsidRDefault="00781102" w:rsidP="00CD12C3">
            <w:pPr>
              <w:tabs>
                <w:tab w:val="right" w:pos="8789"/>
              </w:tabs>
              <w:jc w:val="both"/>
              <w:rPr>
                <w:rFonts w:cstheme="minorHAnsi"/>
              </w:rPr>
            </w:pPr>
            <w:r w:rsidRPr="004A1AEE">
              <w:rPr>
                <w:rFonts w:cstheme="minorHAnsi"/>
                <w:color w:val="0070C0"/>
              </w:rPr>
              <w:t xml:space="preserve">Teoretická část DP je zpracována standardně s použitím adekvátních českých i zahraničních literárních zdrojů. </w:t>
            </w:r>
            <w:r w:rsidR="00BA3ED5">
              <w:rPr>
                <w:rFonts w:cstheme="minorHAnsi"/>
                <w:color w:val="0070C0"/>
              </w:rPr>
              <w:t xml:space="preserve">Citování zdrojů proběhlo adekvátním způsobem. </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4686734" w:rsidR="000E094A" w:rsidRDefault="003D5339"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293B739B" w14:textId="77777777" w:rsidR="004A1AEE" w:rsidRDefault="004A1AEE" w:rsidP="00CD12C3">
            <w:pPr>
              <w:tabs>
                <w:tab w:val="right" w:pos="8789"/>
              </w:tabs>
              <w:jc w:val="both"/>
              <w:rPr>
                <w:rFonts w:cstheme="minorHAnsi"/>
                <w:color w:val="0070C0"/>
              </w:rPr>
            </w:pPr>
          </w:p>
          <w:p w14:paraId="05A7EA67" w14:textId="6E09CD9A" w:rsidR="006F2E8D" w:rsidRDefault="00781102" w:rsidP="006F2E8D">
            <w:pPr>
              <w:tabs>
                <w:tab w:val="right" w:pos="8789"/>
              </w:tabs>
              <w:jc w:val="both"/>
              <w:rPr>
                <w:rFonts w:cstheme="minorHAnsi"/>
                <w:color w:val="0070C0"/>
              </w:rPr>
            </w:pPr>
            <w:r w:rsidRPr="004A1AEE">
              <w:rPr>
                <w:rFonts w:cstheme="minorHAnsi"/>
                <w:color w:val="0070C0"/>
              </w:rPr>
              <w:t xml:space="preserve">V analytické části je </w:t>
            </w:r>
            <w:r w:rsidR="003D5339">
              <w:rPr>
                <w:rFonts w:cstheme="minorHAnsi"/>
                <w:color w:val="0070C0"/>
              </w:rPr>
              <w:t xml:space="preserve">stručně </w:t>
            </w:r>
            <w:r w:rsidRPr="004A1AEE">
              <w:rPr>
                <w:rFonts w:cstheme="minorHAnsi"/>
                <w:color w:val="0070C0"/>
              </w:rPr>
              <w:t xml:space="preserve">představena vybraná společnost. Následuje analýza </w:t>
            </w:r>
            <w:r w:rsidR="003D5339">
              <w:rPr>
                <w:rFonts w:cstheme="minorHAnsi"/>
                <w:color w:val="0070C0"/>
              </w:rPr>
              <w:t xml:space="preserve">vnějšího hospodaření, je provedena PEST analýza, SWOT analýza a analýza konkurence v daném odvětví. Následuje srovnání podniku s konkurencí </w:t>
            </w:r>
            <w:r w:rsidR="00BA3ED5">
              <w:rPr>
                <w:rFonts w:cstheme="minorHAnsi"/>
                <w:color w:val="0070C0"/>
              </w:rPr>
              <w:t>z</w:t>
            </w:r>
            <w:r w:rsidR="003D5339">
              <w:rPr>
                <w:rFonts w:cstheme="minorHAnsi"/>
                <w:color w:val="0070C0"/>
              </w:rPr>
              <w:t xml:space="preserve">a pomoci vybraných ukazatelů finanční analýzy. Není provedena analýza </w:t>
            </w:r>
            <w:r w:rsidRPr="004A1AEE">
              <w:rPr>
                <w:rFonts w:cstheme="minorHAnsi"/>
                <w:color w:val="0070C0"/>
              </w:rPr>
              <w:t>účetních výkazů</w:t>
            </w:r>
            <w:r w:rsidR="00877EF4">
              <w:rPr>
                <w:rFonts w:cstheme="minorHAnsi"/>
                <w:color w:val="0070C0"/>
              </w:rPr>
              <w:t xml:space="preserve"> u konkurenčních podniků</w:t>
            </w:r>
            <w:r w:rsidR="006F2E8D">
              <w:rPr>
                <w:rFonts w:cstheme="minorHAnsi"/>
                <w:color w:val="0070C0"/>
              </w:rPr>
              <w:t xml:space="preserve">, </w:t>
            </w:r>
            <w:r w:rsidR="003D5339">
              <w:rPr>
                <w:rFonts w:cstheme="minorHAnsi"/>
                <w:color w:val="0070C0"/>
              </w:rPr>
              <w:t xml:space="preserve">což může ve finanční analýze vést k některým zavádějícím závěrům. Dále je provedena finanční analýza společnosti </w:t>
            </w:r>
            <w:proofErr w:type="spellStart"/>
            <w:r w:rsidR="003D5339">
              <w:rPr>
                <w:rFonts w:cstheme="minorHAnsi"/>
                <w:color w:val="0070C0"/>
              </w:rPr>
              <w:t>Kdynium</w:t>
            </w:r>
            <w:proofErr w:type="spellEnd"/>
            <w:r w:rsidR="003D5339">
              <w:rPr>
                <w:rFonts w:cstheme="minorHAnsi"/>
                <w:color w:val="0070C0"/>
              </w:rPr>
              <w:t>. Je provedena stručná analýza rozvahy, v tabulce 3 chybí hodnota DHM, komentář je velmi stručný, není zřejmé, jak moc je dlouhodobý majetek odepsaný atd. I analýza pasiv a výkazu zisku a ztráty je velmi stručná, komentáře nepřesné, např. pokles VK, krátkodobých závazků či osobních nákladů je platný pouze v roce 2020, což ovšem není z textu patrné. Následuje analýza vývoje různých druhů zisku v podniku a přidané hodnoty, komentáře jsou opět velmi stručné a nevysvětlující důvody vývoje. Dále</w:t>
            </w:r>
            <w:r w:rsidR="006F2E8D">
              <w:rPr>
                <w:rFonts w:cstheme="minorHAnsi"/>
                <w:color w:val="0070C0"/>
              </w:rPr>
              <w:t xml:space="preserve"> j</w:t>
            </w:r>
            <w:r w:rsidR="00A656E8" w:rsidRPr="004A1AEE">
              <w:rPr>
                <w:rFonts w:cstheme="minorHAnsi"/>
                <w:color w:val="0070C0"/>
              </w:rPr>
              <w:t>sou vypočteny a analyzovány poměrové ukazatele rentability, zadluženosti, aktivity</w:t>
            </w:r>
            <w:r w:rsidR="006F2E8D">
              <w:rPr>
                <w:rFonts w:cstheme="minorHAnsi"/>
                <w:color w:val="0070C0"/>
              </w:rPr>
              <w:t xml:space="preserve"> a</w:t>
            </w:r>
            <w:r w:rsidR="00A656E8" w:rsidRPr="004A1AEE">
              <w:rPr>
                <w:rFonts w:cstheme="minorHAnsi"/>
                <w:color w:val="0070C0"/>
              </w:rPr>
              <w:t xml:space="preserve"> likvidity. </w:t>
            </w:r>
            <w:r w:rsidR="006F2E8D">
              <w:rPr>
                <w:rFonts w:cstheme="minorHAnsi"/>
                <w:color w:val="0070C0"/>
              </w:rPr>
              <w:t xml:space="preserve">Ukazatele jsou hodnoceny </w:t>
            </w:r>
            <w:r w:rsidR="005F1992">
              <w:rPr>
                <w:rFonts w:cstheme="minorHAnsi"/>
                <w:color w:val="0070C0"/>
              </w:rPr>
              <w:t>spíše</w:t>
            </w:r>
            <w:r w:rsidR="006F2E8D">
              <w:rPr>
                <w:rFonts w:cstheme="minorHAnsi"/>
                <w:color w:val="0070C0"/>
              </w:rPr>
              <w:t xml:space="preserve"> obecně</w:t>
            </w:r>
            <w:r w:rsidR="003D5339">
              <w:rPr>
                <w:rFonts w:cstheme="minorHAnsi"/>
                <w:color w:val="0070C0"/>
              </w:rPr>
              <w:t>, např. nízká obratovost aktiv není prakticky analyzována, na str. 74 je pak konstatováno, že z analýzy ukazatelů aktivity vyplynuly velmi příznivé hodnoty. C</w:t>
            </w:r>
            <w:r w:rsidR="006F2E8D">
              <w:rPr>
                <w:rFonts w:cstheme="minorHAnsi"/>
                <w:color w:val="0070C0"/>
              </w:rPr>
              <w:t>hybí výpočet tzv. ostatních poměrových ukazatelů, které by braly v potaz např. přidanou hodnotu či počet zaměstnanců v</w:t>
            </w:r>
            <w:r w:rsidR="003D5339">
              <w:rPr>
                <w:rFonts w:cstheme="minorHAnsi"/>
                <w:color w:val="0070C0"/>
              </w:rPr>
              <w:t> </w:t>
            </w:r>
            <w:r w:rsidR="006F2E8D">
              <w:rPr>
                <w:rFonts w:cstheme="minorHAnsi"/>
                <w:color w:val="0070C0"/>
              </w:rPr>
              <w:t>podniku</w:t>
            </w:r>
            <w:r w:rsidR="003D5339">
              <w:rPr>
                <w:rFonts w:cstheme="minorHAnsi"/>
                <w:color w:val="0070C0"/>
              </w:rPr>
              <w:t>, který není nikde v analytické části zmíněn.</w:t>
            </w:r>
            <w:r w:rsidR="006F2E8D">
              <w:rPr>
                <w:rFonts w:cstheme="minorHAnsi"/>
                <w:color w:val="0070C0"/>
              </w:rPr>
              <w:t xml:space="preserve"> Následuje </w:t>
            </w:r>
            <w:r w:rsidR="003D5339">
              <w:rPr>
                <w:rFonts w:cstheme="minorHAnsi"/>
                <w:color w:val="0070C0"/>
              </w:rPr>
              <w:t xml:space="preserve">vymezení projektu investičního záměru a představeny dosažené energetické a finanční úspory investice. V následující kapitole jsou vymezeny </w:t>
            </w:r>
            <w:r w:rsidR="003D5339">
              <w:rPr>
                <w:rFonts w:cstheme="minorHAnsi"/>
                <w:color w:val="0070C0"/>
              </w:rPr>
              <w:lastRenderedPageBreak/>
              <w:t>náklady na cizí kapitál, není však zřejmé, jak byly určeny náklady na leasing. Následuje výpočet nákladů vlastní kapitál s využitím metody CAPM, poté pak výpočet vážených průměrných nákladů na kapitál (WACC). Na str. 84 je pak konstatováno, že z důvodu odhadu vyšší inflace i rizika byla použita diskontní míra ve výši 6,5</w:t>
            </w:r>
            <w:r w:rsidR="00BA3ED5">
              <w:rPr>
                <w:rFonts w:cstheme="minorHAnsi"/>
                <w:color w:val="0070C0"/>
              </w:rPr>
              <w:t xml:space="preserve"> </w:t>
            </w:r>
            <w:r w:rsidR="003D5339">
              <w:rPr>
                <w:rFonts w:cstheme="minorHAnsi"/>
                <w:color w:val="0070C0"/>
              </w:rPr>
              <w:t>%. Není zřejmé, na</w:t>
            </w:r>
            <w:r w:rsidR="00BA3ED5">
              <w:rPr>
                <w:rFonts w:cstheme="minorHAnsi"/>
                <w:color w:val="0070C0"/>
              </w:rPr>
              <w:t xml:space="preserve"> </w:t>
            </w:r>
            <w:proofErr w:type="gramStart"/>
            <w:r w:rsidR="003D5339">
              <w:rPr>
                <w:rFonts w:cstheme="minorHAnsi"/>
                <w:color w:val="0070C0"/>
              </w:rPr>
              <w:t>základě</w:t>
            </w:r>
            <w:proofErr w:type="gramEnd"/>
            <w:r w:rsidR="003D5339">
              <w:rPr>
                <w:rFonts w:cstheme="minorHAnsi"/>
                <w:color w:val="0070C0"/>
              </w:rPr>
              <w:t xml:space="preserve"> jaké analýzy je tato diskontní míra odvozena. Následně je vyhodnocena efektivnost investice dle doby návratnosti, NPV a IRR a investice je doporučena k realizaci. </w:t>
            </w:r>
          </w:p>
          <w:p w14:paraId="7CA46D33" w14:textId="6B2993EE" w:rsidR="000E094A" w:rsidRPr="004A1AEE" w:rsidRDefault="000E094A" w:rsidP="006F2E8D">
            <w:pPr>
              <w:tabs>
                <w:tab w:val="right" w:pos="8789"/>
              </w:tabs>
              <w:jc w:val="both"/>
              <w:rPr>
                <w:rFonts w:cstheme="minorHAnsi"/>
                <w:color w:val="0070C0"/>
              </w:rPr>
            </w:pPr>
          </w:p>
          <w:p w14:paraId="303103B0" w14:textId="77777777"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EDE8CB1" w:rsidR="000E094A" w:rsidRDefault="00364C91"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562E240E" w14:textId="77777777" w:rsidR="0085554C" w:rsidRDefault="0085554C" w:rsidP="00CD12C3">
            <w:pPr>
              <w:tabs>
                <w:tab w:val="right" w:pos="8789"/>
              </w:tabs>
              <w:jc w:val="both"/>
              <w:rPr>
                <w:rFonts w:cstheme="minorHAnsi"/>
              </w:rPr>
            </w:pPr>
          </w:p>
          <w:p w14:paraId="69972017" w14:textId="6690E24E" w:rsidR="009C7318" w:rsidRPr="00BA3ED5" w:rsidRDefault="003D5339" w:rsidP="00CD12C3">
            <w:pPr>
              <w:tabs>
                <w:tab w:val="right" w:pos="8789"/>
              </w:tabs>
              <w:jc w:val="both"/>
              <w:rPr>
                <w:rFonts w:cstheme="minorHAnsi"/>
                <w:color w:val="0070C0"/>
              </w:rPr>
            </w:pPr>
            <w:r>
              <w:rPr>
                <w:rFonts w:cstheme="minorHAnsi"/>
                <w:color w:val="0070C0"/>
              </w:rPr>
              <w:t>15</w:t>
            </w:r>
            <w:r w:rsidR="006F2E8D">
              <w:rPr>
                <w:rFonts w:cstheme="minorHAnsi"/>
                <w:color w:val="0070C0"/>
              </w:rPr>
              <w:t xml:space="preserve">. </w:t>
            </w:r>
            <w:r w:rsidR="00A91363" w:rsidRPr="0085554C">
              <w:rPr>
                <w:rFonts w:cstheme="minorHAnsi"/>
                <w:color w:val="0070C0"/>
              </w:rPr>
              <w:t>část diplomov</w:t>
            </w:r>
            <w:r>
              <w:rPr>
                <w:rFonts w:cstheme="minorHAnsi"/>
                <w:color w:val="0070C0"/>
              </w:rPr>
              <w:t>é</w:t>
            </w:r>
            <w:r w:rsidR="00A91363" w:rsidRPr="0085554C">
              <w:rPr>
                <w:rFonts w:cstheme="minorHAnsi"/>
                <w:color w:val="0070C0"/>
              </w:rPr>
              <w:t xml:space="preserve"> práce se </w:t>
            </w:r>
            <w:r>
              <w:rPr>
                <w:rFonts w:cstheme="minorHAnsi"/>
                <w:color w:val="0070C0"/>
              </w:rPr>
              <w:t>zaměřuje na možnosti financování investice</w:t>
            </w:r>
            <w:r w:rsidR="00BA3ED5">
              <w:rPr>
                <w:rFonts w:cstheme="minorHAnsi"/>
                <w:color w:val="0070C0"/>
              </w:rPr>
              <w:t xml:space="preserve">. Byly zvažovány 2 možnosti: bankovní úvěr od ČSOB a nebankovní úvěr od ACEMA </w:t>
            </w:r>
            <w:proofErr w:type="spellStart"/>
            <w:r w:rsidR="00BA3ED5">
              <w:rPr>
                <w:rFonts w:cstheme="minorHAnsi"/>
                <w:color w:val="0070C0"/>
              </w:rPr>
              <w:t>Credit</w:t>
            </w:r>
            <w:proofErr w:type="spellEnd"/>
            <w:r w:rsidR="00BA3ED5">
              <w:rPr>
                <w:rFonts w:cstheme="minorHAnsi"/>
                <w:color w:val="0070C0"/>
              </w:rPr>
              <w:t xml:space="preserve"> Czech. Mohlo být navrženo a zhodnoceno i více variant financování. Celkově je vyhodnocen bankovní úvěr jako vhodnější. Velmi pozitivně hodnotím 16. část diplomové práce, která je zaměřena na analýzu rizik investičního projektu. Jsou zde identifikována konkrétní rizika, která jsou následně ohodnocena a navrženy možnosti, jak tato rizika eliminovat.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26D9CB3" w:rsidR="000E094A" w:rsidRDefault="005F1992"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40123AE4" w:rsidR="004D378C"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166A10C0" w14:textId="77777777" w:rsidR="00A91363" w:rsidRDefault="00A91363" w:rsidP="00DC7D52">
            <w:pPr>
              <w:tabs>
                <w:tab w:val="right" w:pos="8789"/>
              </w:tabs>
              <w:jc w:val="both"/>
              <w:rPr>
                <w:rFonts w:cstheme="minorHAnsi"/>
                <w:i/>
                <w:sz w:val="20"/>
              </w:rPr>
            </w:pPr>
          </w:p>
          <w:p w14:paraId="406D5824" w14:textId="35E322CB" w:rsidR="000E094A" w:rsidRPr="000E094A" w:rsidRDefault="003D5339" w:rsidP="00CD12C3">
            <w:pPr>
              <w:tabs>
                <w:tab w:val="right" w:pos="8789"/>
              </w:tabs>
              <w:jc w:val="both"/>
              <w:rPr>
                <w:rFonts w:cstheme="minorHAnsi"/>
              </w:rPr>
            </w:pPr>
            <w:r w:rsidRPr="003D5339">
              <w:rPr>
                <w:noProof/>
                <w:color w:val="0070C0"/>
              </w:rPr>
              <w:t>Formální úroveň práce je dobrá, občas se vyskytují drobné nepřesnosti a určité drobnější formulační nedostatky. Logická provázanost textu práce je dobrá, v některých částech mohla být práce přehlednější. Práce má odpovídající jazykovou i grafickou úroveň.</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3CB485F" w:rsidR="009C7318" w:rsidRDefault="00364C91"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2E80A678" w:rsidR="00D6308A" w:rsidRPr="000E094A" w:rsidRDefault="004A1AEE" w:rsidP="00AF31F5">
            <w:pPr>
              <w:tabs>
                <w:tab w:val="right" w:pos="8789"/>
              </w:tabs>
              <w:jc w:val="both"/>
              <w:rPr>
                <w:rFonts w:cstheme="minorHAnsi"/>
              </w:rPr>
            </w:pPr>
            <w:bookmarkStart w:id="0" w:name="_Hlk98164743"/>
            <w:r w:rsidRPr="00A91363">
              <w:rPr>
                <w:rFonts w:cstheme="minorHAnsi"/>
                <w:color w:val="0070C0"/>
              </w:rPr>
              <w:t>Diplomov</w:t>
            </w:r>
            <w:r w:rsidR="006F2E8D">
              <w:rPr>
                <w:rFonts w:cstheme="minorHAnsi"/>
                <w:color w:val="0070C0"/>
              </w:rPr>
              <w:t>á</w:t>
            </w:r>
            <w:r w:rsidRPr="00A91363">
              <w:rPr>
                <w:rFonts w:cstheme="minorHAnsi"/>
                <w:color w:val="0070C0"/>
              </w:rPr>
              <w:t xml:space="preserve"> prác</w:t>
            </w:r>
            <w:r w:rsidR="006F2E8D">
              <w:rPr>
                <w:rFonts w:cstheme="minorHAnsi"/>
                <w:color w:val="0070C0"/>
              </w:rPr>
              <w:t>e</w:t>
            </w:r>
            <w:r w:rsidRPr="00A91363">
              <w:rPr>
                <w:rFonts w:cstheme="minorHAnsi"/>
                <w:color w:val="0070C0"/>
              </w:rPr>
              <w:t xml:space="preserve"> </w:t>
            </w:r>
            <w:r w:rsidR="005F1992">
              <w:rPr>
                <w:rFonts w:cstheme="minorHAnsi"/>
                <w:color w:val="0070C0"/>
              </w:rPr>
              <w:t>s</w:t>
            </w:r>
            <w:r w:rsidR="006F2E8D">
              <w:rPr>
                <w:rFonts w:cstheme="minorHAnsi"/>
                <w:color w:val="0070C0"/>
              </w:rPr>
              <w:t>plnila</w:t>
            </w:r>
            <w:r w:rsidRPr="00A91363">
              <w:rPr>
                <w:rFonts w:cstheme="minorHAnsi"/>
                <w:color w:val="0070C0"/>
              </w:rPr>
              <w:t xml:space="preserve"> </w:t>
            </w:r>
            <w:r w:rsidR="006F2E8D">
              <w:rPr>
                <w:rFonts w:cstheme="minorHAnsi"/>
                <w:color w:val="0070C0"/>
              </w:rPr>
              <w:t xml:space="preserve">vytčené </w:t>
            </w:r>
            <w:r w:rsidRPr="00A91363">
              <w:rPr>
                <w:rFonts w:cstheme="minorHAnsi"/>
                <w:color w:val="0070C0"/>
              </w:rPr>
              <w:t>cíle</w:t>
            </w:r>
            <w:r w:rsidR="006F2E8D">
              <w:rPr>
                <w:rFonts w:cstheme="minorHAnsi"/>
                <w:color w:val="0070C0"/>
              </w:rPr>
              <w:t>.</w:t>
            </w:r>
          </w:p>
          <w:p w14:paraId="165635E4" w14:textId="2DBB272D" w:rsidR="00D6308A" w:rsidRPr="000E094A" w:rsidRDefault="00D6308A" w:rsidP="00BA3ED5">
            <w:pPr>
              <w:tabs>
                <w:tab w:val="left" w:pos="3564"/>
              </w:tabs>
              <w:jc w:val="both"/>
              <w:rPr>
                <w:rFonts w:cstheme="minorHAnsi"/>
              </w:rPr>
            </w:pPr>
          </w:p>
        </w:tc>
      </w:tr>
    </w:tbl>
    <w:bookmarkEnd w:id="0"/>
    <w:p w14:paraId="00B15EF1" w14:textId="7FDAA86F" w:rsidR="0024258E" w:rsidRPr="005A3844" w:rsidRDefault="009C7318" w:rsidP="00A40E93">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bookmarkStart w:id="1" w:name="_GoBack"/>
      <w:bookmarkEnd w:id="1"/>
    </w:p>
    <w:p w14:paraId="240E8692" w14:textId="7A537A67" w:rsidR="009C7318" w:rsidRPr="00BA3ED5" w:rsidRDefault="009C7318" w:rsidP="00DC7D52">
      <w:pPr>
        <w:spacing w:after="120" w:line="240" w:lineRule="auto"/>
        <w:jc w:val="both"/>
        <w:rPr>
          <w:color w:val="0070C0"/>
          <w:sz w:val="23"/>
          <w:szCs w:val="23"/>
        </w:rPr>
      </w:pPr>
      <w:r w:rsidRPr="004A1AEE">
        <w:rPr>
          <w:rFonts w:cstheme="minorHAnsi"/>
          <w:b/>
          <w:color w:val="0070C0"/>
        </w:rPr>
        <w:t>Otázky k</w:t>
      </w:r>
      <w:r w:rsidR="007E17F3" w:rsidRPr="004A1AEE">
        <w:rPr>
          <w:rFonts w:cstheme="minorHAnsi"/>
          <w:b/>
          <w:color w:val="0070C0"/>
        </w:rPr>
        <w:t> </w:t>
      </w:r>
      <w:r w:rsidRPr="004A1AEE">
        <w:rPr>
          <w:rFonts w:cstheme="minorHAnsi"/>
          <w:b/>
          <w:color w:val="0070C0"/>
        </w:rPr>
        <w:t>obhajobě</w:t>
      </w:r>
      <w:r w:rsidR="007E17F3" w:rsidRPr="004A1AEE">
        <w:rPr>
          <w:rFonts w:cstheme="minorHAnsi"/>
          <w:b/>
          <w:color w:val="0070C0"/>
        </w:rPr>
        <w:t>:</w:t>
      </w:r>
    </w:p>
    <w:p w14:paraId="434E59B9" w14:textId="1BF209C7" w:rsidR="005F1992" w:rsidRPr="00BA3ED5" w:rsidRDefault="00BA3ED5" w:rsidP="005F1992">
      <w:pPr>
        <w:pStyle w:val="Odstavecseseznamem"/>
        <w:numPr>
          <w:ilvl w:val="0"/>
          <w:numId w:val="7"/>
        </w:numPr>
        <w:jc w:val="both"/>
        <w:rPr>
          <w:rFonts w:cstheme="minorHAnsi"/>
          <w:color w:val="0070C0"/>
        </w:rPr>
      </w:pPr>
      <w:r w:rsidRPr="00BA3ED5">
        <w:rPr>
          <w:rFonts w:cstheme="minorHAnsi"/>
          <w:color w:val="0070C0"/>
        </w:rPr>
        <w:t>Proč jste nezvážila jako možnou variantu financování např. leasing?</w:t>
      </w:r>
    </w:p>
    <w:p w14:paraId="2F6DD988" w14:textId="0BB02562" w:rsidR="00BA3ED5" w:rsidRDefault="00BA3ED5" w:rsidP="005F1992">
      <w:pPr>
        <w:pStyle w:val="Odstavecseseznamem"/>
        <w:numPr>
          <w:ilvl w:val="0"/>
          <w:numId w:val="7"/>
        </w:numPr>
        <w:jc w:val="both"/>
        <w:rPr>
          <w:rFonts w:cstheme="minorHAnsi"/>
          <w:color w:val="0070C0"/>
        </w:rPr>
      </w:pPr>
      <w:r w:rsidRPr="00BA3ED5">
        <w:rPr>
          <w:rFonts w:cstheme="minorHAnsi"/>
          <w:color w:val="0070C0"/>
        </w:rPr>
        <w:t>Na str. 74 konstatujete, že z analýzy ukazatelů aktivity vyplynuly velmi příznivé hodnoty. Proč se tak domníváte?</w:t>
      </w:r>
    </w:p>
    <w:p w14:paraId="7F96C829" w14:textId="6035AC32" w:rsidR="00BA3ED5" w:rsidRPr="00BA3ED5" w:rsidRDefault="00BA3ED5" w:rsidP="005F1992">
      <w:pPr>
        <w:pStyle w:val="Odstavecseseznamem"/>
        <w:numPr>
          <w:ilvl w:val="0"/>
          <w:numId w:val="7"/>
        </w:numPr>
        <w:jc w:val="both"/>
        <w:rPr>
          <w:rFonts w:cstheme="minorHAnsi"/>
          <w:color w:val="0070C0"/>
        </w:rPr>
      </w:pPr>
      <w:r>
        <w:rPr>
          <w:rFonts w:cstheme="minorHAnsi"/>
          <w:color w:val="0070C0"/>
        </w:rPr>
        <w:t>Pro stanovení nákladů na vlastní kapitál jste využila model CAPM. Považujete aplikaci této metody za vhodnou, když nebylo možné použít beta konkrétního odvětví? Jaké další metody znáte a proč jste je v diplomové práci nevyužila? Považujete diskontní míru ve výši 6,5 %, kterou jste navrhla pro diskontování peněžních toků z navrhované investice, při dnešní míře inflace za dostatečnou?</w:t>
      </w:r>
    </w:p>
    <w:p w14:paraId="4E3072FA" w14:textId="31DB141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4A1AEE">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4A1AEE">
            <w:rPr>
              <w:rFonts w:cstheme="minorHAnsi"/>
              <w:b/>
            </w:rPr>
            <w:t>doporučuji</w:t>
          </w:r>
        </w:sdtContent>
      </w:sdt>
      <w:r>
        <w:t xml:space="preserve"> k obhajobě.</w:t>
      </w:r>
      <w:r w:rsidR="00CD12C3">
        <w:t xml:space="preserve"> </w:t>
      </w:r>
    </w:p>
    <w:p w14:paraId="1ED39F9A" w14:textId="34D1E8C0" w:rsidR="007C17B9" w:rsidRPr="004A1AEE" w:rsidRDefault="009C7318" w:rsidP="005F1992">
      <w:pPr>
        <w:spacing w:after="120" w:line="240" w:lineRule="auto"/>
        <w:jc w:val="both"/>
        <w:rPr>
          <w:rFonts w:cstheme="minorHAnsi"/>
          <w:color w:val="0070C0"/>
        </w:rPr>
      </w:pPr>
      <w:r w:rsidRPr="005F1992">
        <w:rPr>
          <w:rFonts w:cstheme="minorHAnsi"/>
        </w:rPr>
        <w:t>Datum</w:t>
      </w:r>
      <w:r w:rsidR="0085398A" w:rsidRPr="005F1992">
        <w:rPr>
          <w:rFonts w:cstheme="minorHAnsi"/>
        </w:rPr>
        <w:t xml:space="preserve"> </w:t>
      </w:r>
      <w:sdt>
        <w:sdtPr>
          <w:rPr>
            <w:rFonts w:cstheme="minorHAnsi"/>
          </w:rPr>
          <w:alias w:val="datum"/>
          <w:tag w:val="datum"/>
          <w:id w:val="-2115436557"/>
          <w:lock w:val="sdtLocked"/>
          <w:placeholder>
            <w:docPart w:val="DefaultPlaceholder_-1854013437"/>
          </w:placeholder>
          <w:date w:fullDate="2022-05-13T00:00:00Z">
            <w:dateFormat w:val="dd.MM.yyyy"/>
            <w:lid w:val="cs-CZ"/>
            <w:storeMappedDataAs w:val="dateTime"/>
            <w:calendar w:val="gregorian"/>
          </w:date>
        </w:sdtPr>
        <w:sdtEndPr/>
        <w:sdtContent>
          <w:r w:rsidR="004A1AEE" w:rsidRPr="005F1992">
            <w:rPr>
              <w:rFonts w:cstheme="minorHAnsi"/>
            </w:rPr>
            <w:t>13.05.2022</w:t>
          </w:r>
        </w:sdtContent>
      </w:sdt>
      <w:r w:rsidR="0085398A" w:rsidRPr="005F1992">
        <w:rPr>
          <w:rFonts w:cstheme="minorHAnsi"/>
        </w:rPr>
        <w:tab/>
      </w:r>
    </w:p>
    <w:p w14:paraId="379E95D0" w14:textId="77777777" w:rsidR="007C17B9" w:rsidRDefault="007C17B9" w:rsidP="007C17B9">
      <w:pPr>
        <w:jc w:val="both"/>
        <w:rPr>
          <w:rFonts w:cstheme="minorHAnsi"/>
        </w:rPr>
      </w:pPr>
    </w:p>
    <w:p w14:paraId="6574A4F4" w14:textId="77777777" w:rsidR="007C17B9" w:rsidRDefault="007C17B9" w:rsidP="007C17B9">
      <w:pPr>
        <w:jc w:val="both"/>
        <w:rPr>
          <w:rFonts w:cstheme="minorHAnsi"/>
        </w:rPr>
      </w:pPr>
    </w:p>
    <w:p w14:paraId="3C1CAAE4" w14:textId="725A005B" w:rsidR="0085398A" w:rsidRDefault="0085398A" w:rsidP="0085398A">
      <w:pPr>
        <w:tabs>
          <w:tab w:val="center" w:pos="8505"/>
        </w:tabs>
        <w:jc w:val="both"/>
        <w:rPr>
          <w:rFonts w:cstheme="minorHAnsi"/>
        </w:rPr>
      </w:pP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A400E" w14:textId="77777777" w:rsidR="00FC28F3" w:rsidRDefault="00FC28F3" w:rsidP="00A40E93">
      <w:pPr>
        <w:spacing w:after="0" w:line="240" w:lineRule="auto"/>
      </w:pPr>
      <w:r>
        <w:separator/>
      </w:r>
    </w:p>
  </w:endnote>
  <w:endnote w:type="continuationSeparator" w:id="0">
    <w:p w14:paraId="12B2DD0F" w14:textId="77777777" w:rsidR="00FC28F3" w:rsidRDefault="00FC28F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5316" w14:textId="77777777" w:rsidR="00FC28F3" w:rsidRDefault="00FC28F3" w:rsidP="00A40E93">
      <w:pPr>
        <w:spacing w:after="0" w:line="240" w:lineRule="auto"/>
      </w:pPr>
      <w:r>
        <w:separator/>
      </w:r>
    </w:p>
  </w:footnote>
  <w:footnote w:type="continuationSeparator" w:id="0">
    <w:p w14:paraId="2D4D5A08" w14:textId="77777777" w:rsidR="00FC28F3" w:rsidRDefault="00FC28F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3F4059"/>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4C0062"/>
    <w:multiLevelType w:val="hybridMultilevel"/>
    <w:tmpl w:val="CCF80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329D7"/>
    <w:rsid w:val="0024258E"/>
    <w:rsid w:val="0029651C"/>
    <w:rsid w:val="002C5ED6"/>
    <w:rsid w:val="002E7DF4"/>
    <w:rsid w:val="00364C91"/>
    <w:rsid w:val="003D5339"/>
    <w:rsid w:val="004A1AEE"/>
    <w:rsid w:val="004D378C"/>
    <w:rsid w:val="005A3844"/>
    <w:rsid w:val="005B598E"/>
    <w:rsid w:val="005C4ACA"/>
    <w:rsid w:val="005F1992"/>
    <w:rsid w:val="0067082B"/>
    <w:rsid w:val="00694399"/>
    <w:rsid w:val="006B0DBC"/>
    <w:rsid w:val="006F2E8D"/>
    <w:rsid w:val="0073639B"/>
    <w:rsid w:val="00740FE9"/>
    <w:rsid w:val="007539AC"/>
    <w:rsid w:val="007553A6"/>
    <w:rsid w:val="00781102"/>
    <w:rsid w:val="007C17B9"/>
    <w:rsid w:val="007E17F3"/>
    <w:rsid w:val="0085398A"/>
    <w:rsid w:val="0085554C"/>
    <w:rsid w:val="00877EF4"/>
    <w:rsid w:val="008A6138"/>
    <w:rsid w:val="008B781B"/>
    <w:rsid w:val="008E2072"/>
    <w:rsid w:val="00974EA2"/>
    <w:rsid w:val="00987B93"/>
    <w:rsid w:val="009C322A"/>
    <w:rsid w:val="009C7318"/>
    <w:rsid w:val="00A15286"/>
    <w:rsid w:val="00A40E93"/>
    <w:rsid w:val="00A656E8"/>
    <w:rsid w:val="00A7527E"/>
    <w:rsid w:val="00A91363"/>
    <w:rsid w:val="00B14451"/>
    <w:rsid w:val="00B4254F"/>
    <w:rsid w:val="00BA16DD"/>
    <w:rsid w:val="00BA3ED5"/>
    <w:rsid w:val="00CA34A9"/>
    <w:rsid w:val="00CD12C3"/>
    <w:rsid w:val="00D6308A"/>
    <w:rsid w:val="00DC7D52"/>
    <w:rsid w:val="00E22423"/>
    <w:rsid w:val="00EF1720"/>
    <w:rsid w:val="00F534B1"/>
    <w:rsid w:val="00FC2852"/>
    <w:rsid w:val="00FC2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E3A74"/>
    <w:rsid w:val="00510546"/>
    <w:rsid w:val="005E083B"/>
    <w:rsid w:val="006A2162"/>
    <w:rsid w:val="00A00291"/>
    <w:rsid w:val="00AA4FA9"/>
    <w:rsid w:val="00D64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4FA9"/>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4767B30CE8224AC0819269DA773CED12">
    <w:name w:val="4767B30CE8224AC0819269DA773CED12"/>
    <w:rsid w:val="00AA4FA9"/>
  </w:style>
  <w:style w:type="paragraph" w:customStyle="1" w:styleId="ADA62086E6CD4B10A3FEDC291EC22918">
    <w:name w:val="ADA62086E6CD4B10A3FEDC291EC22918"/>
    <w:rsid w:val="00AA4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84A81DD2678449A2506AE0936907E2" ma:contentTypeVersion="14" ma:contentTypeDescription="Vytvoří nový dokument" ma:contentTypeScope="" ma:versionID="cde24fc43abffaa43db2b537290eeb49">
  <xsd:schema xmlns:xsd="http://www.w3.org/2001/XMLSchema" xmlns:xs="http://www.w3.org/2001/XMLSchema" xmlns:p="http://schemas.microsoft.com/office/2006/metadata/properties" xmlns:ns3="e33aaaec-5232-4a05-b409-f48df991c437" xmlns:ns4="10c7a808-c904-42d4-8afe-1107c29a7207" targetNamespace="http://schemas.microsoft.com/office/2006/metadata/properties" ma:root="true" ma:fieldsID="5ec59d85e2f666ea8349ea4f58ec7116" ns3:_="" ns4:_="">
    <xsd:import namespace="e33aaaec-5232-4a05-b409-f48df991c437"/>
    <xsd:import namespace="10c7a808-c904-42d4-8afe-1107c29a7207"/>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3:SharedWithDetails" minOccurs="0"/>
                <xsd:element ref="ns3: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aaaec-5232-4a05-b409-f48df991c43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7a808-c904-42d4-8afe-1107c29a72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958A9-C4FD-4EB8-A2CD-F24168D1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aaaec-5232-4a05-b409-f48df991c437"/>
    <ds:schemaRef ds:uri="10c7a808-c904-42d4-8afe-1107c29a7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5196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2022-05-19T05:00:00Z</dcterms:created>
  <dcterms:modified xsi:type="dcterms:W3CDTF">2022-05-19T05:00:00Z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0x010100F884A81DD2678449A2506AE0936907E2</vt:lpwstr>
  </property>
</Properties>
</file>