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A2B31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40DA5">
        <w:rPr>
          <w:rFonts w:asciiTheme="minorHAnsi" w:hAnsiTheme="minorHAnsi" w:cstheme="minorHAnsi"/>
          <w:sz w:val="22"/>
          <w:szCs w:val="22"/>
        </w:rPr>
        <w:t xml:space="preserve">Bc. Tereza </w:t>
      </w:r>
      <w:r w:rsidR="00C40A78">
        <w:rPr>
          <w:rFonts w:asciiTheme="minorHAnsi" w:hAnsiTheme="minorHAnsi" w:cstheme="minorHAnsi"/>
          <w:sz w:val="22"/>
          <w:szCs w:val="22"/>
        </w:rPr>
        <w:t>Kalousová</w:t>
      </w:r>
    </w:p>
    <w:p w14:paraId="00D6BB86" w14:textId="554290C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C01E82">
        <w:rPr>
          <w:rFonts w:asciiTheme="minorHAnsi" w:hAnsiTheme="minorHAnsi" w:cstheme="minorHAnsi"/>
          <w:sz w:val="22"/>
          <w:szCs w:val="22"/>
        </w:rPr>
        <w:t>)</w:t>
      </w:r>
      <w:r w:rsidR="00C01E82" w:rsidRPr="009C322A">
        <w:rPr>
          <w:rFonts w:asciiTheme="minorHAnsi" w:hAnsiTheme="minorHAnsi" w:cstheme="minorHAnsi"/>
          <w:sz w:val="22"/>
          <w:szCs w:val="22"/>
        </w:rPr>
        <w:t>:</w:t>
      </w:r>
      <w:r w:rsidR="00C01E82">
        <w:rPr>
          <w:rFonts w:asciiTheme="minorHAnsi" w:hAnsiTheme="minorHAnsi" w:cstheme="minorHAnsi"/>
          <w:sz w:val="22"/>
          <w:szCs w:val="22"/>
        </w:rPr>
        <w:t xml:space="preserve"> doc. Ing. Jana Matošková, Ph.D.</w:t>
      </w:r>
    </w:p>
    <w:p w14:paraId="09E4DE65" w14:textId="2AA98A0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40DA5">
        <w:rPr>
          <w:rFonts w:cstheme="minorHAnsi"/>
        </w:rPr>
        <w:t xml:space="preserve">Projekt </w:t>
      </w:r>
      <w:r w:rsidR="00C40A78">
        <w:rPr>
          <w:rFonts w:cstheme="minorHAnsi"/>
        </w:rPr>
        <w:t>zlepšení interní komunikace při zavádění změn na vybraném oddělní zvolené firmy</w:t>
      </w:r>
    </w:p>
    <w:p w14:paraId="35028D0F" w14:textId="02F80EA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01E8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57FE74D" w:rsidR="000E094A" w:rsidRDefault="00E15B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79344A2" w14:textId="7EF8FE9F" w:rsidR="000E094A" w:rsidRDefault="00A449A9" w:rsidP="00C40A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práce je vymezen na s. 10 </w:t>
            </w:r>
            <w:r w:rsidR="00E15B65">
              <w:rPr>
                <w:rFonts w:cstheme="minorHAnsi"/>
              </w:rPr>
              <w:t>jako „zanalyzovat současný stav interní komunikace při zavádění změn na vybraném oddělení a následně navrhnout projekt, který povede ke zlepšení současného stavu interní komunikace při zavádění změn“. Chybí zde vymezení cílů teoretické i praktické části. Nicméně hlavní cíl je v souladu s tématem práce.</w:t>
            </w:r>
          </w:p>
          <w:p w14:paraId="3EC96ED4" w14:textId="1FB43761" w:rsidR="00E15B65" w:rsidRDefault="00E15B65" w:rsidP="00C40A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Pokud jde o metody, zmíněno je na s. 10 dotazníkové šetření, </w:t>
            </w:r>
            <w:proofErr w:type="spellStart"/>
            <w:r>
              <w:rPr>
                <w:rFonts w:cstheme="minorHAnsi"/>
              </w:rPr>
              <w:t>polostrukturované</w:t>
            </w:r>
            <w:proofErr w:type="spellEnd"/>
            <w:r>
              <w:rPr>
                <w:rFonts w:cstheme="minorHAnsi"/>
              </w:rPr>
              <w:t xml:space="preserve"> rozhovory se zaměstnanci a manažery, </w:t>
            </w:r>
            <w:proofErr w:type="spellStart"/>
            <w:r>
              <w:rPr>
                <w:rFonts w:cstheme="minorHAnsi"/>
              </w:rPr>
              <w:t>focus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group</w:t>
            </w:r>
            <w:proofErr w:type="spellEnd"/>
            <w:r>
              <w:rPr>
                <w:rFonts w:cstheme="minorHAnsi"/>
              </w:rPr>
              <w:t xml:space="preserve"> s manažery a zaměstnanci, tj. metody sběru dat. </w:t>
            </w:r>
            <w:r w:rsidR="003D00BC">
              <w:rPr>
                <w:rFonts w:cstheme="minorHAnsi"/>
              </w:rPr>
              <w:t xml:space="preserve">Detailněji jsou tyto metody popsány v kap. 5.2. </w:t>
            </w:r>
            <w:r w:rsidR="00F719C3">
              <w:rPr>
                <w:rFonts w:cstheme="minorHAnsi"/>
              </w:rPr>
              <w:t>Zvolené</w:t>
            </w:r>
            <w:r>
              <w:rPr>
                <w:rFonts w:cstheme="minorHAnsi"/>
              </w:rPr>
              <w:t xml:space="preserve"> metody jsou z mého pohledu pro sběr dat k tématu vhodné. Chybí mi zde ale zmínka o metodách analýzy dat.</w:t>
            </w:r>
          </w:p>
          <w:p w14:paraId="7ED3E311" w14:textId="58C491C2" w:rsidR="00E15B65" w:rsidRPr="000E094A" w:rsidRDefault="00E15B65" w:rsidP="00C40A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Pokud jde o projekt, je zmíněna analýza nákladů, rizik a přínosů.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630FB53" w:rsidR="000E094A" w:rsidRDefault="007B5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4104885D" w14:textId="77777777" w:rsidR="000E094A" w:rsidRDefault="00E15B65" w:rsidP="00C40A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v souladu se zadáním zaměřuje na vymezení základních pojmů, které s prací souvisí – interní komunikace, zavádění změn. </w:t>
            </w:r>
          </w:p>
          <w:p w14:paraId="1CFA9368" w14:textId="77777777" w:rsidR="00E15B65" w:rsidRDefault="00E15B65" w:rsidP="00C40A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Tato část vychází z přiměřeného počtu zdrojů. Zastoupeny jsou v nich monografie i internetové zdroje. Volbu zdrojů pokládám za vhodnou. Zdroje jsou v textu citovány adekvátním způsobem.</w:t>
            </w:r>
          </w:p>
          <w:p w14:paraId="130B2032" w14:textId="77777777" w:rsidR="00E15B65" w:rsidRDefault="007B5F6B" w:rsidP="00C40A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Způsob zpracování textu odpovídá mým představám o kritické literární rešerši.</w:t>
            </w:r>
          </w:p>
          <w:p w14:paraId="7B260597" w14:textId="304541FE" w:rsidR="007B5F6B" w:rsidRPr="000E094A" w:rsidRDefault="007B5F6B" w:rsidP="00C40A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Nechybí shrnutí teoretických poznatků.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94125FA" w:rsidR="000E094A" w:rsidRDefault="002737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53B73372" w:rsidR="000E094A" w:rsidRPr="000E094A" w:rsidRDefault="007D3B9B" w:rsidP="00C40A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Poznatky z teoretické části byly v této části využity. </w:t>
            </w:r>
            <w:r w:rsidR="0054424B">
              <w:rPr>
                <w:rFonts w:cstheme="minorHAnsi"/>
              </w:rPr>
              <w:t xml:space="preserve">Oceňuji definování výzkumné otázky pro analýzu </w:t>
            </w:r>
            <w:r w:rsidR="0054424B">
              <w:rPr>
                <w:rFonts w:cstheme="minorHAnsi"/>
              </w:rPr>
              <w:t>(s. 40)</w:t>
            </w:r>
            <w:r w:rsidR="0054424B">
              <w:rPr>
                <w:rFonts w:cstheme="minorHAnsi"/>
              </w:rPr>
              <w:t xml:space="preserve">. </w:t>
            </w:r>
            <w:r w:rsidR="00FF38BA">
              <w:rPr>
                <w:rFonts w:cstheme="minorHAnsi"/>
              </w:rPr>
              <w:t xml:space="preserve">Popis postupu aplikace metod je dostatečný. Náročnost sběru dat odpovídá úrovni diplomové práce. Líbí se mi, že autorka kombinuje poznatky z dotazníkového šetření, rozhovorů i </w:t>
            </w:r>
            <w:proofErr w:type="spellStart"/>
            <w:r w:rsidR="00FF38BA">
              <w:rPr>
                <w:rFonts w:cstheme="minorHAnsi"/>
              </w:rPr>
              <w:t>focus</w:t>
            </w:r>
            <w:proofErr w:type="spellEnd"/>
            <w:r w:rsidR="00FF38BA">
              <w:rPr>
                <w:rFonts w:cstheme="minorHAnsi"/>
              </w:rPr>
              <w:t xml:space="preserve"> </w:t>
            </w:r>
            <w:proofErr w:type="spellStart"/>
            <w:r w:rsidR="00FF38BA">
              <w:rPr>
                <w:rFonts w:cstheme="minorHAnsi"/>
              </w:rPr>
              <w:t>group</w:t>
            </w:r>
            <w:proofErr w:type="spellEnd"/>
            <w:r w:rsidR="00FF38BA">
              <w:rPr>
                <w:rFonts w:cstheme="minorHAnsi"/>
              </w:rPr>
              <w:t>. V práci je na můj vkus už příliš mnoho grafů, autorka má tendenci graficky zachytit i informace, které lze se stejnou přidanou hodnotou vyjádřit ve větě (např. Obrázek 8</w:t>
            </w:r>
            <w:r w:rsidR="00123148">
              <w:rPr>
                <w:rFonts w:cstheme="minorHAnsi"/>
              </w:rPr>
              <w:t>, Obrázek 16</w:t>
            </w:r>
            <w:r w:rsidR="00FF38BA">
              <w:rPr>
                <w:rFonts w:cstheme="minorHAnsi"/>
              </w:rPr>
              <w:t>).</w:t>
            </w:r>
            <w:r w:rsidR="002737D2">
              <w:rPr>
                <w:rFonts w:cstheme="minorHAnsi"/>
              </w:rPr>
              <w:t xml:space="preserve"> Oceňuji snahu studentky o statistické testování hypotéz. Nicméně při pohledu na tabulky (2 a 3) je zřejmé, že před aplikací Chí-kvadrát testu mělo dojít ke sloučení některých </w:t>
            </w:r>
            <w:proofErr w:type="spellStart"/>
            <w:r w:rsidR="002737D2">
              <w:rPr>
                <w:rFonts w:cstheme="minorHAnsi"/>
              </w:rPr>
              <w:t>méněčetných</w:t>
            </w:r>
            <w:proofErr w:type="spellEnd"/>
            <w:r w:rsidR="002737D2">
              <w:rPr>
                <w:rFonts w:cstheme="minorHAnsi"/>
              </w:rPr>
              <w:t xml:space="preserve"> kategorií. V analytické části nechybí souhrnné zhodnocení současného stavu a jeho závěry pokládám za dostatečně podložené.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544FC4B" w:rsidR="000E094A" w:rsidRDefault="00F679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0A7243F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BC192E5" w:rsidR="000E094A" w:rsidRDefault="008B65C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navazuje na zjištění z analýzy. Oceňuji zpracování logického rámce (Tabulka 4). Lze mu však vytknout nedostatečné definování objektivně měřitelných ukazatelů podle SMART, chybí v něm také definování časových milníků a prostředků pro dosažení cíle. Autorka navrhuje mimo jiné jednodenní školení komunikačních dovedností – obávám se, že takové školení nepřinese očekávaný efekt, protože nejde o znalosti, ale o rozvoj dovednosti. Celkově hodnotím návrhy jako potenciálně zajímavé, ale definované spíše v obecnější rovině.</w:t>
            </w:r>
          </w:p>
          <w:p w14:paraId="4C2D5B8B" w14:textId="290D3A7F" w:rsidR="008B65C7" w:rsidRPr="000E094A" w:rsidRDefault="008B65C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nechybí časová analýza projektu</w:t>
            </w:r>
            <w:r w:rsidR="00F679D8">
              <w:rPr>
                <w:rFonts w:cstheme="minorHAnsi"/>
              </w:rPr>
              <w:t xml:space="preserve"> (kap. 6.4)</w:t>
            </w:r>
            <w:r>
              <w:rPr>
                <w:rFonts w:cstheme="minorHAnsi"/>
              </w:rPr>
              <w:t>,</w:t>
            </w:r>
            <w:r w:rsidR="00F679D8">
              <w:rPr>
                <w:rFonts w:cstheme="minorHAnsi"/>
              </w:rPr>
              <w:t xml:space="preserve"> nákladová analýza (kap. 6.5), jsou zmíněny přínosy projektu (kap. 6.6) i rizika projektu (kap. 6.7). Tyto analýzy jsou podle mne pojaty spíše obecně, postrádám jejich hlubší rozpracování.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853E6A4" w:rsidR="000E094A" w:rsidRDefault="007B5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09089524" w:rsidR="000E094A" w:rsidRPr="000E094A" w:rsidRDefault="007B5F6B" w:rsidP="005442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Kapitoly jsou logicky řazené, text je provázaný. </w:t>
            </w:r>
            <w:r w:rsidR="0054424B">
              <w:rPr>
                <w:rFonts w:cstheme="minorHAnsi"/>
              </w:rPr>
              <w:t>Terminologii vnímám jako správnou. Předepsaná norma citování zdrojů je dodržena. Práce má odpovídající jazykovou a grafickou úroveň. Lze vytknout jen drobnosti, např. text na s. 41 není zarovnán do bloku</w:t>
            </w:r>
            <w:r w:rsidR="00F719C3">
              <w:rPr>
                <w:rFonts w:cstheme="minorHAnsi"/>
              </w:rPr>
              <w:t>, pokud má obrázek titulek, je další nadpis v obrázku zbytečný</w:t>
            </w:r>
            <w:r w:rsidR="00123148">
              <w:rPr>
                <w:rFonts w:cstheme="minorHAnsi"/>
              </w:rPr>
              <w:t>, kap. 5.4 bych očekávala před kap. 5.2</w:t>
            </w:r>
            <w:r w:rsidR="008B65C7">
              <w:rPr>
                <w:rFonts w:cstheme="minorHAnsi"/>
              </w:rPr>
              <w:t>, poslední věta v prvním odstavci kap. 6.1 není dokončena</w:t>
            </w:r>
            <w:r w:rsidR="00123148">
              <w:rPr>
                <w:rFonts w:cstheme="minorHAnsi"/>
              </w:rPr>
              <w:t xml:space="preserve">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9076403" w:rsidR="009C7318" w:rsidRDefault="00F679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0794A6FB" w:rsidR="00D6308A" w:rsidRPr="000E094A" w:rsidRDefault="004A0E51" w:rsidP="0092520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Předloženou práci pokládám za kvalitní a naplňující stanovené zásady pro vypracování. </w:t>
            </w:r>
            <w:bookmarkStart w:id="1" w:name="_GoBack"/>
            <w:bookmarkEnd w:id="1"/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0EED8F4B" w:rsidR="005C4ACA" w:rsidRDefault="002737D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Podle Vašich závěrů (s. 74-75) existuje závislost mezi věkem a přijetím změn. Kdo přijímá změny snáze? Mladší nebo starší? Toto totiž z Vašich závěrů nevyplývá.</w:t>
      </w:r>
    </w:p>
    <w:p w14:paraId="4A9EE3F2" w14:textId="218EF987" w:rsidR="008B65C7" w:rsidRDefault="008B65C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Popište prosím blíže Vaši představu o školení v oblasti řízení změn (s. 81). Jak bude rozsáhlé? Kolik zaměstnanců se jej zúčastní?</w:t>
      </w:r>
    </w:p>
    <w:p w14:paraId="05076D6A" w14:textId="728FBB0F" w:rsidR="00F679D8" w:rsidRDefault="00F679D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s. 90 uvádíte, že do nákladů školení je započítána, jak cena za školitele, tak i za účastníky. Tuto cenu máte na jedno školení stanoveno na 15 000 Kč (30 000 Kč za 2 školení měsíčně). Vysvětlete, co z této částky tvoří „cena za školitele“ a „cena za účastníky“ a co pod označením „cena za účastníky“ rozumíte.</w:t>
      </w:r>
    </w:p>
    <w:p w14:paraId="0F082B5C" w14:textId="393D80A9" w:rsidR="00F679D8" w:rsidRPr="005C4ACA" w:rsidRDefault="00F679D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jste stanovila pravděpodobnost výskytu rizika a závažnost jeho dopadu? (Tabulka 6, s. 96)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98F48AA" w:rsidR="009C7318" w:rsidRDefault="009C7318" w:rsidP="00DC7D52">
      <w:pPr>
        <w:spacing w:after="120" w:line="240" w:lineRule="auto"/>
        <w:jc w:val="both"/>
      </w:pPr>
      <w:r>
        <w:lastRenderedPageBreak/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01E8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01E8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4CEAEC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772C0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3sDQ1NjK3NLMwNbVQ0lEKTi0uzszPAykwqgUADoRuxCwAAAA="/>
  </w:docVars>
  <w:rsids>
    <w:rsidRoot w:val="00BA16DD"/>
    <w:rsid w:val="00040DA5"/>
    <w:rsid w:val="000971B2"/>
    <w:rsid w:val="000C0458"/>
    <w:rsid w:val="000E094A"/>
    <w:rsid w:val="00123148"/>
    <w:rsid w:val="00144F5B"/>
    <w:rsid w:val="001E2FF9"/>
    <w:rsid w:val="0024258E"/>
    <w:rsid w:val="002737D2"/>
    <w:rsid w:val="0029651C"/>
    <w:rsid w:val="002C3BB7"/>
    <w:rsid w:val="002C5ED6"/>
    <w:rsid w:val="003D00BC"/>
    <w:rsid w:val="00470EBC"/>
    <w:rsid w:val="00483A21"/>
    <w:rsid w:val="004A0E51"/>
    <w:rsid w:val="004D378C"/>
    <w:rsid w:val="0054424B"/>
    <w:rsid w:val="005C4ACA"/>
    <w:rsid w:val="006313AF"/>
    <w:rsid w:val="00634750"/>
    <w:rsid w:val="0067082B"/>
    <w:rsid w:val="006772C0"/>
    <w:rsid w:val="00694399"/>
    <w:rsid w:val="0073639B"/>
    <w:rsid w:val="007539AC"/>
    <w:rsid w:val="007553A6"/>
    <w:rsid w:val="007B5F6B"/>
    <w:rsid w:val="007D3B9B"/>
    <w:rsid w:val="007E17F3"/>
    <w:rsid w:val="00801960"/>
    <w:rsid w:val="0085398A"/>
    <w:rsid w:val="008B65C7"/>
    <w:rsid w:val="008B781B"/>
    <w:rsid w:val="008E2072"/>
    <w:rsid w:val="0092520A"/>
    <w:rsid w:val="00974EA2"/>
    <w:rsid w:val="00987B93"/>
    <w:rsid w:val="009C322A"/>
    <w:rsid w:val="009C7318"/>
    <w:rsid w:val="00A40E93"/>
    <w:rsid w:val="00A449A9"/>
    <w:rsid w:val="00A7527E"/>
    <w:rsid w:val="00B14451"/>
    <w:rsid w:val="00BA16DD"/>
    <w:rsid w:val="00BF1D25"/>
    <w:rsid w:val="00C01E82"/>
    <w:rsid w:val="00C07CEE"/>
    <w:rsid w:val="00C40A78"/>
    <w:rsid w:val="00C47CDC"/>
    <w:rsid w:val="00CA34A9"/>
    <w:rsid w:val="00CD12C3"/>
    <w:rsid w:val="00CD4D4A"/>
    <w:rsid w:val="00CF3C68"/>
    <w:rsid w:val="00D35E9E"/>
    <w:rsid w:val="00D6308A"/>
    <w:rsid w:val="00DC7D52"/>
    <w:rsid w:val="00DE64DB"/>
    <w:rsid w:val="00E15B65"/>
    <w:rsid w:val="00E22423"/>
    <w:rsid w:val="00EF1720"/>
    <w:rsid w:val="00F679D8"/>
    <w:rsid w:val="00F719C3"/>
    <w:rsid w:val="00FC2852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5" ma:contentTypeDescription="Vytvoří nový dokument" ma:contentTypeScope="" ma:versionID="c1478678abf73e9bba4860a33f2d56bc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e37aab115b1336b0709fafc88e10e174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Props1.xml><?xml version="1.0" encoding="utf-8"?>
<ds:datastoreItem xmlns:ds="http://schemas.openxmlformats.org/officeDocument/2006/customXml" ds:itemID="{DC61843B-9D03-497B-A935-28B1635D9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c8a432d0-6a18-4b4e-b941-c41239099df8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1d15c0d2-593a-4097-9533-3285f80f41a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906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4</cp:revision>
  <cp:lastPrinted>2023-05-18T11:49:00Z</cp:lastPrinted>
  <dcterms:created xsi:type="dcterms:W3CDTF">2023-05-18T11:50:00Z</dcterms:created>
  <dcterms:modified xsi:type="dcterms:W3CDTF">2023-05-18T14:24:00Z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