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8FCB62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865F5">
        <w:rPr>
          <w:rFonts w:asciiTheme="minorHAnsi" w:hAnsiTheme="minorHAnsi" w:cstheme="minorHAnsi"/>
          <w:sz w:val="22"/>
          <w:szCs w:val="22"/>
        </w:rPr>
        <w:t>Marek Lehar</w:t>
      </w:r>
    </w:p>
    <w:p w14:paraId="7BEB1D07" w14:textId="3F9DA041" w:rsidR="00025BF3" w:rsidRDefault="00025BF3" w:rsidP="001865F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65F5">
        <w:rPr>
          <w:rFonts w:asciiTheme="minorHAnsi" w:hAnsiTheme="minorHAnsi" w:cstheme="minorHAnsi"/>
          <w:sz w:val="22"/>
          <w:szCs w:val="22"/>
        </w:rPr>
        <w:t>Vojtěch Sadil</w:t>
      </w:r>
    </w:p>
    <w:p w14:paraId="05C5954D" w14:textId="29BD8AA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865F5" w:rsidRPr="001865F5">
        <w:rPr>
          <w:rFonts w:cstheme="minorHAnsi"/>
        </w:rPr>
        <w:t>Analýza typů kryptoměnových burz a jejich různých funkcí a využití</w:t>
      </w:r>
    </w:p>
    <w:p w14:paraId="07FD52EA" w14:textId="7FC7C17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865F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2CE128" w:rsidR="000E094A" w:rsidRDefault="006446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0F5A57EB" w:rsidR="000E094A" w:rsidRPr="000E094A" w:rsidRDefault="006446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srozumitelně. Autor využil vhodné metody, avšak tyto mohly být více představeny. Kapitola Cíle a metody mohla být zpracována pečlivěji. Téma BP je originální a současně také aktuální. Zvolené metody a postupy jsou adekvátní pro dosažení hlavního cíle BP. Téma práce je v souladu s hlavním cílem i definovanými zásadami.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5373C2" w:rsidR="000E094A" w:rsidRDefault="00345A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548E374" w:rsidR="000E094A" w:rsidRPr="000E094A" w:rsidRDefault="006446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zaměřena na podstatu kryptoaktiv a problematiku krypto-burz. Rozsah teoretické části je skromný, literární rešerše mohla být více kritická. Například v kapitole 1 mohla být podstata kryptoaktiv vysvětlena s využitím více literárních zdrojů (např. uvést pohled zastánců a odpůrců kryptoaktiv). </w:t>
            </w:r>
            <w:r w:rsidR="00345AF0">
              <w:rPr>
                <w:rFonts w:cstheme="minorHAnsi"/>
              </w:rPr>
              <w:t>Klíčová je kapitola 3, zaměřená na kryptoměnové burzy. Autor se drží nejednotné terminologie, kdy správně uvádí pojem krypto-aktiva a v kapitole 3 hovoří o kryptoměnových burzách. V této kapitole jsou vysvětleny klíčové pojmy, související s fungováním krypto-burz. Práce s literárními zdroji i kritičnost literární rešerše je ve výsledku spíše podprůměrná. Na druhou stranu lze pozitivně hodnotit využití převážně zahraničních literárních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9CA3BF" w:rsidR="000E094A" w:rsidRDefault="00337D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C0F3B15" w:rsidR="000E094A" w:rsidRPr="000E094A" w:rsidRDefault="00337D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analytické část provádí autor komparaci mezi fungováním centralizovaných a decentralizovaných krypto-burz. Autor zvolil vhodné parametry pro srovnání. Čtenář získá základní přehled o způsobu fungování obou typů krypto-burz, což může být užitečné pro začínající obchodníky či spekulanty s krypto-aktivy. V rámci kapitoly 4.4. mohl jít autor ve vysvětlení průběhu obchodování na CEX do větší hloubky. Autor vysvětluje základní pojmy jako Market Limit či Stop limit či postup k otevření účtu. Zcela zde však postrádám vysvětlení architektury obchodní platformy, vysvětlení, přes jaké finanční nástroje dochází k otevření obchodních pozic a jak dochází k vypořádání uzavřených obchodů. Naopak bylo možné vynechat či zkrátit podkapitolu o registraci na CEX (nebo to zmínit v příloze). Podobnou výhradu mám i ke kapitole 5, kapitola 5.4. mohla být zpracována pečlivěji.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3E5BD3" w:rsidR="000E094A" w:rsidRDefault="00F124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F848933" w:rsidR="000E094A" w:rsidRPr="000E094A" w:rsidRDefault="00D10D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Výstupem komparace CEX a DEX je kapitola 6. Zde bych uvítal přehlednější formu porovnání, například s využitím tabulek. Návaznost na předchozí kapitoly je zřejmá a výstupy jsou zde podloženy přijatelnými argumenty. Co mi však v BP schází nejvíce, je datová analýza, která by tuto práci posunula na výrazně vyšší úroveň.</w:t>
            </w:r>
            <w:r w:rsidR="00F12459">
              <w:rPr>
                <w:rFonts w:cstheme="minorHAnsi"/>
              </w:rPr>
              <w:t xml:space="preserve"> Lze však konstatovat, že autor splnil stanovené zásady a dosáhl hlavního cíle práce.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4E0CED" w:rsidR="000E094A" w:rsidRDefault="00337D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D05A3B6" w:rsidR="000E094A" w:rsidRPr="000E094A" w:rsidRDefault="00345A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obsahuje menší formální nedostatky a nepřesnosti. </w:t>
            </w:r>
            <w:r w:rsidR="00F12459">
              <w:rPr>
                <w:rFonts w:cstheme="minorHAnsi"/>
              </w:rPr>
              <w:t>N</w:t>
            </w:r>
            <w:r>
              <w:rPr>
                <w:rFonts w:cstheme="minorHAnsi"/>
              </w:rPr>
              <w:t>epřesnosti jsou patrné také v rámci terminologie</w:t>
            </w:r>
            <w:r w:rsidR="00F12459">
              <w:rPr>
                <w:rFonts w:cstheme="minorHAnsi"/>
              </w:rPr>
              <w:t xml:space="preserve"> a slohu</w:t>
            </w:r>
            <w:r>
              <w:rPr>
                <w:rFonts w:cstheme="minorHAnsi"/>
              </w:rPr>
              <w:t>. V rámci grafické úrovně je horší čitelnost u některých obrázků. Citace je v souladu s předepsanou normou</w:t>
            </w:r>
            <w:r w:rsidR="00337D0B">
              <w:rPr>
                <w:rFonts w:cstheme="minorHAnsi"/>
              </w:rPr>
              <w:t xml:space="preserve"> a text je převážně logicky provázán.</w:t>
            </w:r>
            <w:r>
              <w:rPr>
                <w:rFonts w:cstheme="minorHAnsi"/>
              </w:rPr>
              <w:t xml:space="preserve"> Jazyková </w:t>
            </w:r>
            <w:r w:rsidR="00337D0B">
              <w:rPr>
                <w:rFonts w:cstheme="minorHAnsi"/>
              </w:rPr>
              <w:t>úroveň je dostatečná pro tento typ kvalifikačních prací.</w:t>
            </w:r>
            <w:r w:rsidR="00F12459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1D1D15" w:rsidR="009C7318" w:rsidRDefault="00F124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1E56FA9D" w:rsidR="00F92C79" w:rsidRPr="000E094A" w:rsidRDefault="00F124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Bakalářskou práci doporučuji k obhajobě. Navrhuji známku D. Prosím studenta o zodpovězení níže uvedené otázky.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7308BEE" w:rsidR="005C4ACA" w:rsidRPr="00F12459" w:rsidRDefault="00E24FFA" w:rsidP="00F1245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rozdíl mezi obchodováním krypto-aktiv přes futures kontrakty a s využitím CFD (kontrakty na rozdíl)?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E0E6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865F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865F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874CB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865F5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5663" w14:textId="77777777" w:rsidR="00782C4F" w:rsidRDefault="00782C4F" w:rsidP="00A40E93">
      <w:pPr>
        <w:spacing w:after="0" w:line="240" w:lineRule="auto"/>
      </w:pPr>
      <w:r>
        <w:separator/>
      </w:r>
    </w:p>
  </w:endnote>
  <w:endnote w:type="continuationSeparator" w:id="0">
    <w:p w14:paraId="39704D13" w14:textId="77777777" w:rsidR="00782C4F" w:rsidRDefault="00782C4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5CCB0" w14:textId="77777777" w:rsidR="00782C4F" w:rsidRDefault="00782C4F" w:rsidP="00A40E93">
      <w:pPr>
        <w:spacing w:after="0" w:line="240" w:lineRule="auto"/>
      </w:pPr>
      <w:r>
        <w:separator/>
      </w:r>
    </w:p>
  </w:footnote>
  <w:footnote w:type="continuationSeparator" w:id="0">
    <w:p w14:paraId="48DBB37E" w14:textId="77777777" w:rsidR="00782C4F" w:rsidRDefault="00782C4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4684">
    <w:abstractNumId w:val="0"/>
  </w:num>
  <w:num w:numId="2" w16cid:durableId="707530086">
    <w:abstractNumId w:val="3"/>
  </w:num>
  <w:num w:numId="3" w16cid:durableId="745227691">
    <w:abstractNumId w:val="2"/>
  </w:num>
  <w:num w:numId="4" w16cid:durableId="2012826462">
    <w:abstractNumId w:val="1"/>
  </w:num>
  <w:num w:numId="5" w16cid:durableId="507257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865F5"/>
    <w:rsid w:val="0024258E"/>
    <w:rsid w:val="00280148"/>
    <w:rsid w:val="0029651C"/>
    <w:rsid w:val="00337D0B"/>
    <w:rsid w:val="00345AF0"/>
    <w:rsid w:val="004D378C"/>
    <w:rsid w:val="005A3B4A"/>
    <w:rsid w:val="005C4ACA"/>
    <w:rsid w:val="006446EC"/>
    <w:rsid w:val="0067082B"/>
    <w:rsid w:val="00694399"/>
    <w:rsid w:val="0073639B"/>
    <w:rsid w:val="007553A6"/>
    <w:rsid w:val="00782C4F"/>
    <w:rsid w:val="007F1BC8"/>
    <w:rsid w:val="0085398A"/>
    <w:rsid w:val="008B781B"/>
    <w:rsid w:val="00974EA2"/>
    <w:rsid w:val="00987B93"/>
    <w:rsid w:val="009C322A"/>
    <w:rsid w:val="009C7318"/>
    <w:rsid w:val="00A36A41"/>
    <w:rsid w:val="00A40E93"/>
    <w:rsid w:val="00A7527E"/>
    <w:rsid w:val="00B14451"/>
    <w:rsid w:val="00BA16DD"/>
    <w:rsid w:val="00BF1FD3"/>
    <w:rsid w:val="00C27492"/>
    <w:rsid w:val="00CA34A9"/>
    <w:rsid w:val="00CD12C3"/>
    <w:rsid w:val="00CE55BD"/>
    <w:rsid w:val="00D10DB3"/>
    <w:rsid w:val="00DC7D52"/>
    <w:rsid w:val="00E22423"/>
    <w:rsid w:val="00E24FFA"/>
    <w:rsid w:val="00E7633F"/>
    <w:rsid w:val="00EF1720"/>
    <w:rsid w:val="00F12459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993FEF"/>
    <w:rsid w:val="00A36A41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7</cp:revision>
  <cp:lastPrinted>2022-03-14T11:55:00Z</cp:lastPrinted>
  <dcterms:created xsi:type="dcterms:W3CDTF">2024-05-26T16:04:00Z</dcterms:created>
  <dcterms:modified xsi:type="dcterms:W3CDTF">2024-05-26T16:49:00Z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