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30DFCFE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F74CF3">
        <w:rPr>
          <w:b/>
          <w:sz w:val="28"/>
          <w:szCs w:val="28"/>
        </w:rPr>
        <w:t>teoretická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63B9BEA0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>. Klára Bárová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461378F" w:rsidR="009571C4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589D0859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D6B2FC8" w:rsidR="00EF706C" w:rsidRPr="005A4D36" w:rsidRDefault="009024D4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32903E35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2F9D57AB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 xml:space="preserve">Imerzní </w:t>
            </w:r>
            <w:proofErr w:type="spellEnd"/>
            <w:r>
              <w:rPr>
                <w:b/>
                <w:szCs w:val="24"/>
              </w:rPr>
              <w:t>technologie v muzejních a galerijních expozicích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2BD0421" w:rsidR="00821E96" w:rsidRPr="005A4D36" w:rsidRDefault="009024D4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Bohuslav Stránský, Ph.D.</w:t>
            </w:r>
          </w:p>
        </w:tc>
      </w:tr>
    </w:tbl>
    <w:p w14:paraId="10695F56" w14:textId="7A03600F" w:rsidR="00EF706C" w:rsidRDefault="00EF706C" w:rsidP="00CD5972">
      <w:pPr>
        <w:spacing w:after="0"/>
        <w:jc w:val="both"/>
        <w:rPr>
          <w:szCs w:val="24"/>
        </w:rPr>
      </w:pPr>
    </w:p>
    <w:p w14:paraId="6E89087F" w14:textId="77777777" w:rsidR="00C72590" w:rsidRPr="000A7C26" w:rsidRDefault="00C72590" w:rsidP="00CD5972">
      <w:pPr>
        <w:spacing w:after="0"/>
        <w:jc w:val="both"/>
        <w:rPr>
          <w:szCs w:val="24"/>
        </w:rPr>
      </w:pPr>
    </w:p>
    <w:p w14:paraId="44ED3883" w14:textId="77777777" w:rsidR="007E5AB5" w:rsidRPr="007E5AB5" w:rsidRDefault="007E5AB5" w:rsidP="007E5AB5">
      <w:pPr>
        <w:spacing w:after="0"/>
        <w:jc w:val="both"/>
        <w:rPr>
          <w:b/>
          <w:szCs w:val="24"/>
        </w:rPr>
      </w:pPr>
      <w:r w:rsidRPr="007E5AB5">
        <w:rPr>
          <w:b/>
          <w:szCs w:val="24"/>
        </w:rPr>
        <w:t>volba tématu</w:t>
      </w:r>
    </w:p>
    <w:p w14:paraId="41D560F9" w14:textId="77777777" w:rsidR="007E5AB5" w:rsidRDefault="007E5AB5" w:rsidP="007E5AB5">
      <w:pPr>
        <w:spacing w:after="0"/>
        <w:jc w:val="both"/>
        <w:rPr>
          <w:szCs w:val="24"/>
        </w:rPr>
      </w:pPr>
    </w:p>
    <w:p w14:paraId="5154AE2A" w14:textId="74EC04D8" w:rsidR="007E5AB5" w:rsidRPr="007E5AB5" w:rsidRDefault="007E5AB5" w:rsidP="007E5AB5">
      <w:pPr>
        <w:spacing w:after="0"/>
        <w:jc w:val="both"/>
        <w:rPr>
          <w:szCs w:val="24"/>
        </w:rPr>
      </w:pPr>
      <w:r w:rsidRPr="007E5AB5">
        <w:rPr>
          <w:szCs w:val="24"/>
        </w:rPr>
        <w:t xml:space="preserve">Je všeobecně známo, že paměťové instituce se dlouhodobě potýkají s úbytkem zájmu návštěvníků. Relevantní strategií (a progresivnější muzea či galerie ji </w:t>
      </w:r>
      <w:r w:rsidR="004821A6">
        <w:rPr>
          <w:szCs w:val="24"/>
        </w:rPr>
        <w:t xml:space="preserve">úspěšně </w:t>
      </w:r>
      <w:r w:rsidRPr="007E5AB5">
        <w:rPr>
          <w:szCs w:val="24"/>
        </w:rPr>
        <w:t>realizují) je zprostředkovat zajímavé obsahy stejnými formami a prostředky, jež je o pozornost návštěvníků připravují. Řeč je o digitálních technologiích</w:t>
      </w:r>
      <w:r w:rsidR="00773AF9">
        <w:rPr>
          <w:szCs w:val="24"/>
        </w:rPr>
        <w:t>,</w:t>
      </w:r>
      <w:r w:rsidRPr="007E5AB5">
        <w:rPr>
          <w:szCs w:val="24"/>
        </w:rPr>
        <w:t xml:space="preserve"> přesněji využití interaktivních multimédií, díky nimž </w:t>
      </w:r>
      <w:r w:rsidR="008847F0">
        <w:rPr>
          <w:szCs w:val="24"/>
        </w:rPr>
        <w:t>lze</w:t>
      </w:r>
      <w:r w:rsidRPr="007E5AB5">
        <w:rPr>
          <w:szCs w:val="24"/>
        </w:rPr>
        <w:t xml:space="preserve"> vytvářet atraktivní</w:t>
      </w:r>
      <w:r w:rsidR="004821A6">
        <w:rPr>
          <w:szCs w:val="24"/>
        </w:rPr>
        <w:t xml:space="preserve"> </w:t>
      </w:r>
      <w:r w:rsidR="004821A6" w:rsidRPr="007E5AB5">
        <w:rPr>
          <w:szCs w:val="24"/>
        </w:rPr>
        <w:t>expozice</w:t>
      </w:r>
      <w:r w:rsidRPr="007E5AB5">
        <w:rPr>
          <w:szCs w:val="24"/>
        </w:rPr>
        <w:t xml:space="preserve">, </w:t>
      </w:r>
      <w:r w:rsidR="004821A6">
        <w:rPr>
          <w:szCs w:val="24"/>
        </w:rPr>
        <w:t xml:space="preserve">které dokáží návštěvníkovi zprostředkovat </w:t>
      </w:r>
      <w:r w:rsidRPr="007E5AB5">
        <w:rPr>
          <w:szCs w:val="24"/>
        </w:rPr>
        <w:t xml:space="preserve">tzv. </w:t>
      </w:r>
      <w:proofErr w:type="spellStart"/>
      <w:r w:rsidRPr="007E5AB5">
        <w:rPr>
          <w:szCs w:val="24"/>
        </w:rPr>
        <w:t>imerzivní</w:t>
      </w:r>
      <w:proofErr w:type="spellEnd"/>
      <w:r w:rsidRPr="007E5AB5">
        <w:rPr>
          <w:szCs w:val="24"/>
        </w:rPr>
        <w:t xml:space="preserve"> zážitek. Ačkoli se nejedná o zásadně nové téma, v českém kontextu se teprve poslední dob</w:t>
      </w:r>
      <w:r w:rsidR="004821A6">
        <w:rPr>
          <w:szCs w:val="24"/>
        </w:rPr>
        <w:t>ou</w:t>
      </w:r>
      <w:r w:rsidRPr="007E5AB5">
        <w:rPr>
          <w:szCs w:val="24"/>
        </w:rPr>
        <w:t xml:space="preserve"> začínají věci měnit </w:t>
      </w:r>
      <w:r w:rsidR="004821A6">
        <w:rPr>
          <w:szCs w:val="24"/>
        </w:rPr>
        <w:t xml:space="preserve">k lepšímu, </w:t>
      </w:r>
      <w:r w:rsidR="001A0EED">
        <w:rPr>
          <w:szCs w:val="24"/>
        </w:rPr>
        <w:t>což jej činí</w:t>
      </w:r>
      <w:r w:rsidRPr="007E5AB5">
        <w:rPr>
          <w:szCs w:val="24"/>
        </w:rPr>
        <w:t xml:space="preserve"> </w:t>
      </w:r>
      <w:r w:rsidR="00C648B1">
        <w:rPr>
          <w:szCs w:val="24"/>
        </w:rPr>
        <w:t>i nadále</w:t>
      </w:r>
      <w:r w:rsidRPr="007E5AB5">
        <w:rPr>
          <w:szCs w:val="24"/>
        </w:rPr>
        <w:t xml:space="preserve"> aktuální</w:t>
      </w:r>
      <w:r w:rsidR="001A0EED">
        <w:rPr>
          <w:szCs w:val="24"/>
        </w:rPr>
        <w:t>m</w:t>
      </w:r>
      <w:r w:rsidRPr="007E5AB5">
        <w:rPr>
          <w:szCs w:val="24"/>
        </w:rPr>
        <w:t>.</w:t>
      </w:r>
    </w:p>
    <w:p w14:paraId="38AA72C6" w14:textId="77777777" w:rsidR="007E5AB5" w:rsidRPr="007E5AB5" w:rsidRDefault="007E5AB5" w:rsidP="007E5AB5">
      <w:pPr>
        <w:spacing w:after="0"/>
        <w:jc w:val="both"/>
        <w:rPr>
          <w:szCs w:val="24"/>
        </w:rPr>
      </w:pPr>
    </w:p>
    <w:p w14:paraId="7E01F6E2" w14:textId="77777777" w:rsidR="007E5AB5" w:rsidRPr="007E5AB5" w:rsidRDefault="007E5AB5" w:rsidP="007E5AB5">
      <w:pPr>
        <w:spacing w:after="0"/>
        <w:jc w:val="both"/>
        <w:rPr>
          <w:szCs w:val="24"/>
        </w:rPr>
      </w:pPr>
      <w:bookmarkStart w:id="0" w:name="_GoBack"/>
      <w:bookmarkEnd w:id="0"/>
    </w:p>
    <w:p w14:paraId="2C693DF4" w14:textId="77777777" w:rsidR="007E5AB5" w:rsidRPr="007E5AB5" w:rsidRDefault="007E5AB5" w:rsidP="007E5AB5">
      <w:pPr>
        <w:spacing w:after="0"/>
        <w:jc w:val="both"/>
        <w:rPr>
          <w:b/>
          <w:szCs w:val="24"/>
        </w:rPr>
      </w:pPr>
      <w:r w:rsidRPr="007E5AB5">
        <w:rPr>
          <w:b/>
          <w:szCs w:val="24"/>
        </w:rPr>
        <w:t>obsah práce</w:t>
      </w:r>
    </w:p>
    <w:p w14:paraId="4471F440" w14:textId="77777777" w:rsidR="007E5AB5" w:rsidRDefault="007E5AB5" w:rsidP="007E5AB5">
      <w:pPr>
        <w:spacing w:after="0"/>
        <w:jc w:val="both"/>
        <w:rPr>
          <w:szCs w:val="24"/>
        </w:rPr>
      </w:pPr>
    </w:p>
    <w:p w14:paraId="643C7594" w14:textId="43281F55" w:rsidR="007E5AB5" w:rsidRPr="007E5AB5" w:rsidRDefault="007E5AB5" w:rsidP="007E5AB5">
      <w:pPr>
        <w:spacing w:after="0"/>
        <w:jc w:val="both"/>
        <w:rPr>
          <w:szCs w:val="24"/>
        </w:rPr>
      </w:pPr>
      <w:r w:rsidRPr="007E5AB5">
        <w:rPr>
          <w:szCs w:val="24"/>
        </w:rPr>
        <w:t>První kapitola patří důkladnému popisu nového přístupu v muzejní praxi, tedy</w:t>
      </w:r>
      <w:r w:rsidR="00582599">
        <w:rPr>
          <w:szCs w:val="24"/>
        </w:rPr>
        <w:t xml:space="preserve"> tzv.</w:t>
      </w:r>
      <w:r w:rsidRPr="007E5AB5">
        <w:rPr>
          <w:szCs w:val="24"/>
        </w:rPr>
        <w:t xml:space="preserve"> Museum </w:t>
      </w:r>
      <w:proofErr w:type="spellStart"/>
      <w:r w:rsidRPr="007E5AB5">
        <w:rPr>
          <w:szCs w:val="24"/>
        </w:rPr>
        <w:t>Experience</w:t>
      </w:r>
      <w:proofErr w:type="spellEnd"/>
      <w:r w:rsidRPr="007E5AB5">
        <w:rPr>
          <w:szCs w:val="24"/>
        </w:rPr>
        <w:t xml:space="preserve"> Designu (MXD)</w:t>
      </w:r>
      <w:r w:rsidR="004515E3">
        <w:rPr>
          <w:szCs w:val="24"/>
        </w:rPr>
        <w:t>.</w:t>
      </w:r>
      <w:r w:rsidRPr="007E5AB5">
        <w:rPr>
          <w:szCs w:val="24"/>
        </w:rPr>
        <w:t xml:space="preserve"> </w:t>
      </w:r>
      <w:r w:rsidR="004515E3">
        <w:rPr>
          <w:szCs w:val="24"/>
        </w:rPr>
        <w:t>A</w:t>
      </w:r>
      <w:r w:rsidRPr="007E5AB5">
        <w:rPr>
          <w:szCs w:val="24"/>
        </w:rPr>
        <w:t xml:space="preserve">utorka předkládá výčet principů a postupů, jak </w:t>
      </w:r>
      <w:r w:rsidR="002E6B6C">
        <w:rPr>
          <w:szCs w:val="24"/>
        </w:rPr>
        <w:t>navrh</w:t>
      </w:r>
      <w:r w:rsidRPr="007E5AB5">
        <w:rPr>
          <w:szCs w:val="24"/>
        </w:rPr>
        <w:t>ovat lepší návštěvnický zážitek a přesvědčivě argumentuje, v čem je takovýto přístup v současnosti relevantní. Z textu vyplývá komplexnost MXD a z toho vyp</w:t>
      </w:r>
      <w:r w:rsidR="00820251">
        <w:rPr>
          <w:szCs w:val="24"/>
        </w:rPr>
        <w:t>l</w:t>
      </w:r>
      <w:r w:rsidRPr="007E5AB5">
        <w:rPr>
          <w:szCs w:val="24"/>
        </w:rPr>
        <w:t>ývající nutnost zapojení multidisciplinárního týmu, kde každá odbornost má svůj výz</w:t>
      </w:r>
      <w:r w:rsidR="00820251">
        <w:rPr>
          <w:szCs w:val="24"/>
        </w:rPr>
        <w:t>n</w:t>
      </w:r>
      <w:r w:rsidRPr="007E5AB5">
        <w:rPr>
          <w:szCs w:val="24"/>
        </w:rPr>
        <w:t xml:space="preserve">am a vliv na </w:t>
      </w:r>
      <w:r w:rsidR="004515E3">
        <w:rPr>
          <w:szCs w:val="24"/>
        </w:rPr>
        <w:t>úspěšný</w:t>
      </w:r>
      <w:r w:rsidRPr="007E5AB5">
        <w:rPr>
          <w:szCs w:val="24"/>
        </w:rPr>
        <w:t xml:space="preserve"> výsledek. Celkový obrázek vize moderní instituce autorka doplňuje o stručný popis digitalizačních strategií, definuje roli kulturní instituce jako živého místa iniciujícího příležitosti k setkávání lidí a vytváření komunit, neopomíná také nutnost získávání zpětné vazby od návštěvníků.</w:t>
      </w:r>
    </w:p>
    <w:p w14:paraId="7E77A779" w14:textId="77777777" w:rsidR="007E5AB5" w:rsidRPr="007E5AB5" w:rsidRDefault="007E5AB5" w:rsidP="007E5AB5">
      <w:pPr>
        <w:spacing w:after="0"/>
        <w:jc w:val="both"/>
        <w:rPr>
          <w:szCs w:val="24"/>
        </w:rPr>
      </w:pPr>
    </w:p>
    <w:p w14:paraId="4F60BEB3" w14:textId="77777777" w:rsidR="007E5AB5" w:rsidRPr="007E5AB5" w:rsidRDefault="007E5AB5" w:rsidP="007E5AB5">
      <w:pPr>
        <w:spacing w:after="0"/>
        <w:jc w:val="both"/>
        <w:rPr>
          <w:szCs w:val="24"/>
        </w:rPr>
      </w:pPr>
      <w:r w:rsidRPr="007E5AB5">
        <w:rPr>
          <w:szCs w:val="24"/>
        </w:rPr>
        <w:t xml:space="preserve">Druhá kapitola je věnována definici digitálního imerzního </w:t>
      </w:r>
      <w:proofErr w:type="gramStart"/>
      <w:r w:rsidRPr="007E5AB5">
        <w:rPr>
          <w:szCs w:val="24"/>
        </w:rPr>
        <w:t>zážitku</w:t>
      </w:r>
      <w:proofErr w:type="gramEnd"/>
      <w:r w:rsidRPr="007E5AB5">
        <w:rPr>
          <w:szCs w:val="24"/>
        </w:rPr>
        <w:t xml:space="preserve"> a především pak přehledu interaktivních technologií a multimédií, jimiž ho lze dosáhnout. Nejen autorce může sloužit jako katalog možností při koncipování nové expozice či výstavy. Každá z technologií je autorsky komentována a doplněna vybraným příkladem kreativního využití v rámci expozic muzeí či galerií napříč celým světem.</w:t>
      </w:r>
    </w:p>
    <w:p w14:paraId="4D80A8AD" w14:textId="77777777" w:rsidR="007E5AB5" w:rsidRPr="007E5AB5" w:rsidRDefault="007E5AB5" w:rsidP="007E5AB5">
      <w:pPr>
        <w:spacing w:after="0"/>
        <w:jc w:val="both"/>
        <w:rPr>
          <w:szCs w:val="24"/>
        </w:rPr>
      </w:pPr>
    </w:p>
    <w:p w14:paraId="11D8F224" w14:textId="4ACDFF7B" w:rsidR="00C72590" w:rsidRDefault="007E5AB5" w:rsidP="007E5AB5">
      <w:pPr>
        <w:spacing w:after="0"/>
        <w:jc w:val="both"/>
        <w:rPr>
          <w:szCs w:val="24"/>
        </w:rPr>
      </w:pPr>
      <w:r w:rsidRPr="007E5AB5">
        <w:rPr>
          <w:szCs w:val="24"/>
        </w:rPr>
        <w:t>Poslední kapitola je procházkou po vybraných výstavních realizacích, kde lze zažít nejrůznější obsahy téměř všemi smysly a (inter)aktivně. Slouží tak především</w:t>
      </w:r>
      <w:r w:rsidR="00D772DE">
        <w:rPr>
          <w:szCs w:val="24"/>
        </w:rPr>
        <w:t xml:space="preserve"> k</w:t>
      </w:r>
      <w:r w:rsidRPr="007E5AB5">
        <w:rPr>
          <w:szCs w:val="24"/>
        </w:rPr>
        <w:t xml:space="preserve"> inspiraci pro vlastní autorský projekt a zároveň jako doklad všech tvrzení uvedených v předchozích dvou kapitolách.</w:t>
      </w:r>
    </w:p>
    <w:p w14:paraId="43AB3DC2" w14:textId="5BCEF88F" w:rsidR="007E5AB5" w:rsidRPr="007E5AB5" w:rsidRDefault="007E5AB5" w:rsidP="007E5AB5">
      <w:pPr>
        <w:spacing w:after="0"/>
        <w:jc w:val="both"/>
        <w:rPr>
          <w:b/>
          <w:szCs w:val="24"/>
        </w:rPr>
      </w:pPr>
      <w:r w:rsidRPr="007E5AB5">
        <w:rPr>
          <w:b/>
          <w:szCs w:val="24"/>
        </w:rPr>
        <w:lastRenderedPageBreak/>
        <w:t>hodnocení</w:t>
      </w:r>
    </w:p>
    <w:p w14:paraId="3FE0C252" w14:textId="77777777" w:rsidR="007E5AB5" w:rsidRDefault="007E5AB5" w:rsidP="007E5AB5">
      <w:pPr>
        <w:spacing w:after="0"/>
        <w:jc w:val="both"/>
        <w:rPr>
          <w:szCs w:val="24"/>
        </w:rPr>
      </w:pPr>
    </w:p>
    <w:p w14:paraId="6606CDBD" w14:textId="4969A4EB" w:rsidR="007E5AB5" w:rsidRPr="007E5AB5" w:rsidRDefault="007E5AB5" w:rsidP="007E5AB5">
      <w:pPr>
        <w:spacing w:after="0"/>
        <w:jc w:val="both"/>
        <w:rPr>
          <w:szCs w:val="24"/>
        </w:rPr>
      </w:pPr>
      <w:r w:rsidRPr="007E5AB5">
        <w:rPr>
          <w:szCs w:val="24"/>
        </w:rPr>
        <w:t xml:space="preserve">Teoretická práce Kláry Bárové přináší ucelený pohled na současné trendy muzejní praxe z pohledu designování návštěvnického zážitku a je ve své podstatě zároveň kritikou stereotypů, jež by měly být už dávno překonané. Pro </w:t>
      </w:r>
      <w:r w:rsidR="00773AF9">
        <w:rPr>
          <w:szCs w:val="24"/>
        </w:rPr>
        <w:t>paměťové</w:t>
      </w:r>
      <w:r w:rsidRPr="007E5AB5">
        <w:rPr>
          <w:szCs w:val="24"/>
        </w:rPr>
        <w:t xml:space="preserve"> instituce, které ještě proměnu směrem k digitalizaci nezačaly, může tato práce posloužit jako dobrý startovní manuál.</w:t>
      </w:r>
      <w:r w:rsidR="00773AF9">
        <w:rPr>
          <w:szCs w:val="24"/>
        </w:rPr>
        <w:t xml:space="preserve"> S</w:t>
      </w:r>
      <w:r w:rsidRPr="007E5AB5">
        <w:rPr>
          <w:szCs w:val="24"/>
        </w:rPr>
        <w:t xml:space="preserve">nad jen škoda, že nikde v textu nepadne zmínka o tzv. science centrech </w:t>
      </w:r>
      <w:r w:rsidR="00773AF9">
        <w:rPr>
          <w:szCs w:val="24"/>
        </w:rPr>
        <w:t xml:space="preserve">– </w:t>
      </w:r>
      <w:r w:rsidRPr="007E5AB5">
        <w:rPr>
          <w:szCs w:val="24"/>
        </w:rPr>
        <w:t xml:space="preserve">ty by mohly být pro </w:t>
      </w:r>
      <w:r w:rsidR="00773AF9">
        <w:rPr>
          <w:szCs w:val="24"/>
        </w:rPr>
        <w:t>muzea a galerie</w:t>
      </w:r>
      <w:r w:rsidRPr="007E5AB5">
        <w:rPr>
          <w:szCs w:val="24"/>
        </w:rPr>
        <w:t xml:space="preserve"> </w:t>
      </w:r>
      <w:r w:rsidR="00773AF9">
        <w:rPr>
          <w:szCs w:val="24"/>
        </w:rPr>
        <w:t xml:space="preserve">ve vytváření interaktivních expozic a diváckého zážitku také </w:t>
      </w:r>
      <w:r w:rsidRPr="007E5AB5">
        <w:rPr>
          <w:szCs w:val="24"/>
        </w:rPr>
        <w:t>výraz</w:t>
      </w:r>
      <w:r w:rsidR="00773AF9">
        <w:rPr>
          <w:szCs w:val="24"/>
        </w:rPr>
        <w:t>n</w:t>
      </w:r>
      <w:r w:rsidRPr="007E5AB5">
        <w:rPr>
          <w:szCs w:val="24"/>
        </w:rPr>
        <w:t xml:space="preserve">ou inspirací. </w:t>
      </w:r>
    </w:p>
    <w:p w14:paraId="2E0FB1CA" w14:textId="77777777" w:rsidR="007E5AB5" w:rsidRPr="007E5AB5" w:rsidRDefault="007E5AB5" w:rsidP="007E5AB5">
      <w:pPr>
        <w:spacing w:after="0"/>
        <w:jc w:val="both"/>
        <w:rPr>
          <w:szCs w:val="24"/>
        </w:rPr>
      </w:pPr>
    </w:p>
    <w:p w14:paraId="2B245BF7" w14:textId="647F4B94" w:rsidR="007E5AB5" w:rsidRPr="007E5AB5" w:rsidRDefault="007E5AB5" w:rsidP="007E5AB5">
      <w:pPr>
        <w:spacing w:after="0"/>
        <w:jc w:val="both"/>
        <w:rPr>
          <w:szCs w:val="24"/>
        </w:rPr>
      </w:pPr>
      <w:r w:rsidRPr="007E5AB5">
        <w:rPr>
          <w:szCs w:val="24"/>
        </w:rPr>
        <w:t xml:space="preserve">Z textu je patrné nejen velké zaujetí autorky danou problematikou, ale také vhled a schopnost o různých aspektech kriticky přemýšlet. Mnohé z uvedených skutečností popisuje na základě vlastní </w:t>
      </w:r>
      <w:r>
        <w:rPr>
          <w:szCs w:val="24"/>
        </w:rPr>
        <w:t xml:space="preserve">– </w:t>
      </w:r>
      <w:r w:rsidRPr="007E5AB5">
        <w:rPr>
          <w:szCs w:val="24"/>
        </w:rPr>
        <w:t>jak návštěvnické, tak designerské zkušenosti. Zároveň se opírá se o řadu aktuálních, relevantních zdrojů, ze kterých čerpá hlubší pochopení a podporu pro svou argumentaci.</w:t>
      </w:r>
    </w:p>
    <w:p w14:paraId="2CE8D472" w14:textId="77777777" w:rsidR="007E5AB5" w:rsidRPr="007E5AB5" w:rsidRDefault="007E5AB5" w:rsidP="007E5AB5">
      <w:pPr>
        <w:spacing w:after="0"/>
        <w:jc w:val="both"/>
        <w:rPr>
          <w:szCs w:val="24"/>
        </w:rPr>
      </w:pPr>
    </w:p>
    <w:p w14:paraId="7B2AD85A" w14:textId="43B15268" w:rsidR="007E5AB5" w:rsidRPr="007E5AB5" w:rsidRDefault="007E5AB5" w:rsidP="007E5AB5">
      <w:pPr>
        <w:spacing w:after="0"/>
        <w:jc w:val="both"/>
        <w:rPr>
          <w:szCs w:val="24"/>
        </w:rPr>
      </w:pPr>
      <w:r w:rsidRPr="007E5AB5">
        <w:rPr>
          <w:szCs w:val="24"/>
        </w:rPr>
        <w:t xml:space="preserve">V neposlední řadě zdobí teoretickou práci Kláry Bárové velmi čtivá forma </w:t>
      </w:r>
      <w:r w:rsidR="0022080E" w:rsidRPr="00E9769D">
        <w:rPr>
          <w:color w:val="000000"/>
          <w:szCs w:val="24"/>
          <w:lang w:val="pl-PL"/>
        </w:rPr>
        <w:t>–</w:t>
      </w:r>
      <w:r w:rsidRPr="007E5AB5">
        <w:rPr>
          <w:szCs w:val="24"/>
        </w:rPr>
        <w:t xml:space="preserve"> </w:t>
      </w:r>
      <w:r w:rsidR="00820251">
        <w:rPr>
          <w:szCs w:val="24"/>
        </w:rPr>
        <w:t>přehledně</w:t>
      </w:r>
      <w:r w:rsidRPr="007E5AB5">
        <w:rPr>
          <w:szCs w:val="24"/>
        </w:rPr>
        <w:t xml:space="preserve"> strukturované, srozumitelně podané informace a pregnantní formulace.</w:t>
      </w:r>
    </w:p>
    <w:p w14:paraId="35BAE4B7" w14:textId="77777777" w:rsidR="007E5AB5" w:rsidRPr="007E5AB5" w:rsidRDefault="007E5AB5" w:rsidP="007E5AB5">
      <w:pPr>
        <w:spacing w:after="0"/>
        <w:jc w:val="both"/>
        <w:rPr>
          <w:szCs w:val="24"/>
        </w:rPr>
      </w:pPr>
    </w:p>
    <w:p w14:paraId="5DE5093C" w14:textId="77777777" w:rsidR="007E5AB5" w:rsidRPr="007E5AB5" w:rsidRDefault="007E5AB5" w:rsidP="007E5AB5">
      <w:pPr>
        <w:spacing w:after="0"/>
        <w:jc w:val="both"/>
        <w:rPr>
          <w:szCs w:val="24"/>
        </w:rPr>
      </w:pPr>
    </w:p>
    <w:p w14:paraId="158C2F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E18EA5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3F32953" w14:textId="56B38E44" w:rsidR="0008222A" w:rsidRPr="00E9769D" w:rsidRDefault="0008222A" w:rsidP="0008222A">
      <w:pPr>
        <w:overflowPunct/>
        <w:autoSpaceDE/>
        <w:autoSpaceDN/>
        <w:adjustRightInd/>
        <w:spacing w:before="100" w:beforeAutospacing="1" w:after="119"/>
        <w:textAlignment w:val="auto"/>
        <w:rPr>
          <w:color w:val="000000"/>
          <w:szCs w:val="24"/>
        </w:rPr>
      </w:pPr>
      <w:r w:rsidRPr="00E9769D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 xml:space="preserve">Kontrola plagiátorství byla negativní/pozitivní – systém našel shodu </w:t>
      </w:r>
      <w:r w:rsidR="00F700AF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>2</w:t>
      </w:r>
      <w:r w:rsidRPr="00E9769D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 xml:space="preserve"> %.</w:t>
      </w:r>
    </w:p>
    <w:p w14:paraId="32853A28" w14:textId="77777777" w:rsidR="0008222A" w:rsidRDefault="0008222A" w:rsidP="0008222A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3C14E4AD" w14:textId="77777777" w:rsidR="0008222A" w:rsidRPr="00E9769D" w:rsidRDefault="0008222A" w:rsidP="0008222A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Návrh klasifikace: </w:t>
      </w:r>
      <w:r>
        <w:rPr>
          <w:color w:val="000000"/>
          <w:szCs w:val="24"/>
          <w:lang w:val="pl-PL"/>
        </w:rPr>
        <w:t>A</w:t>
      </w:r>
      <w:r w:rsidRPr="00E9769D">
        <w:rPr>
          <w:color w:val="000000"/>
          <w:szCs w:val="24"/>
          <w:lang w:val="pl-PL"/>
        </w:rPr>
        <w:t xml:space="preserve"> – v</w:t>
      </w:r>
      <w:r>
        <w:rPr>
          <w:color w:val="000000"/>
          <w:szCs w:val="24"/>
          <w:lang w:val="pl-PL"/>
        </w:rPr>
        <w:t>ýborně</w:t>
      </w:r>
    </w:p>
    <w:p w14:paraId="08959A04" w14:textId="77777777" w:rsidR="0008222A" w:rsidRPr="00E9769D" w:rsidRDefault="0008222A" w:rsidP="0008222A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6E4244C5" w14:textId="77777777" w:rsidR="0008222A" w:rsidRPr="00E9769D" w:rsidRDefault="0008222A" w:rsidP="0008222A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V Uherském Hradišti dne </w:t>
      </w:r>
      <w:r>
        <w:rPr>
          <w:color w:val="000000"/>
          <w:szCs w:val="24"/>
          <w:lang w:val="pl-PL"/>
        </w:rPr>
        <w:t>30</w:t>
      </w:r>
      <w:r w:rsidRPr="00E9769D">
        <w:rPr>
          <w:color w:val="000000"/>
          <w:szCs w:val="24"/>
          <w:lang w:val="pl-PL"/>
        </w:rPr>
        <w:t xml:space="preserve">. </w:t>
      </w:r>
      <w:r>
        <w:rPr>
          <w:color w:val="000000"/>
          <w:szCs w:val="24"/>
          <w:lang w:val="pl-PL"/>
        </w:rPr>
        <w:t>5</w:t>
      </w:r>
      <w:r w:rsidRPr="00E9769D">
        <w:rPr>
          <w:color w:val="000000"/>
          <w:szCs w:val="24"/>
          <w:lang w:val="pl-PL"/>
        </w:rPr>
        <w:t>. 202</w:t>
      </w:r>
      <w:r>
        <w:rPr>
          <w:color w:val="000000"/>
          <w:szCs w:val="24"/>
          <w:lang w:val="pl-PL"/>
        </w:rPr>
        <w:t>4</w:t>
      </w:r>
    </w:p>
    <w:p w14:paraId="7F55380B" w14:textId="77777777" w:rsidR="0008222A" w:rsidRPr="00E9769D" w:rsidRDefault="0008222A" w:rsidP="0008222A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0353EF37" w14:textId="77777777" w:rsidR="0008222A" w:rsidRPr="00E9769D" w:rsidRDefault="0008222A" w:rsidP="0008222A">
      <w:pPr>
        <w:overflowPunct/>
        <w:autoSpaceDE/>
        <w:autoSpaceDN/>
        <w:adjustRightInd/>
        <w:spacing w:before="100" w:beforeAutospacing="1" w:after="0"/>
        <w:ind w:left="4248" w:firstLine="708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>……………………………………</w:t>
      </w:r>
    </w:p>
    <w:p w14:paraId="460CD624" w14:textId="77777777" w:rsidR="0008222A" w:rsidRPr="00E9769D" w:rsidRDefault="0008222A" w:rsidP="0008222A">
      <w:pPr>
        <w:overflowPunct/>
        <w:autoSpaceDE/>
        <w:autoSpaceDN/>
        <w:adjustRightInd/>
        <w:spacing w:before="100" w:beforeAutospacing="1" w:after="0"/>
        <w:ind w:left="4956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podpis vedoucího práce </w:t>
      </w:r>
    </w:p>
    <w:p w14:paraId="757FEFA7" w14:textId="77777777" w:rsidR="0008222A" w:rsidRPr="00E9769D" w:rsidRDefault="0008222A" w:rsidP="0008222A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4819E2F0" w14:textId="77777777" w:rsidR="0008222A" w:rsidRPr="00E9769D" w:rsidRDefault="0008222A" w:rsidP="0008222A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</w:rPr>
      </w:pPr>
      <w:r w:rsidRPr="00E9769D">
        <w:rPr>
          <w:color w:val="000000"/>
          <w:szCs w:val="24"/>
        </w:rPr>
        <w:t>Pro klasifikaci použijte tuto stupnici:</w:t>
      </w:r>
    </w:p>
    <w:p w14:paraId="2423E20A" w14:textId="77777777" w:rsidR="0008222A" w:rsidRPr="00E9769D" w:rsidRDefault="0008222A" w:rsidP="0008222A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</w:rPr>
      </w:pPr>
    </w:p>
    <w:tbl>
      <w:tblPr>
        <w:tblW w:w="96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5"/>
        <w:gridCol w:w="1600"/>
        <w:gridCol w:w="1600"/>
        <w:gridCol w:w="1600"/>
        <w:gridCol w:w="1600"/>
        <w:gridCol w:w="1650"/>
      </w:tblGrid>
      <w:tr w:rsidR="0008222A" w:rsidRPr="00E9769D" w14:paraId="59908F35" w14:textId="77777777" w:rsidTr="006E2906">
        <w:trPr>
          <w:trHeight w:val="60"/>
          <w:tblCellSpacing w:w="0" w:type="dxa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FA34CBD" w14:textId="77777777" w:rsidR="0008222A" w:rsidRPr="00E9769D" w:rsidRDefault="0008222A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A - výborně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6C39D7F" w14:textId="77777777" w:rsidR="0008222A" w:rsidRPr="00E9769D" w:rsidRDefault="0008222A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B - velmi</w:t>
            </w:r>
            <w:proofErr w:type="gramEnd"/>
            <w:r w:rsidRPr="00E9769D">
              <w:rPr>
                <w:color w:val="000000"/>
                <w:sz w:val="20"/>
              </w:rPr>
              <w:t xml:space="preserve"> dobře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97DB268" w14:textId="77777777" w:rsidR="0008222A" w:rsidRPr="00E9769D" w:rsidRDefault="0008222A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C - dobře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6320C23" w14:textId="77777777" w:rsidR="0008222A" w:rsidRPr="00E9769D" w:rsidRDefault="0008222A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D - uspokojivě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90851B6" w14:textId="77777777" w:rsidR="0008222A" w:rsidRPr="00E9769D" w:rsidRDefault="0008222A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E - dostatečně</w:t>
            </w:r>
            <w:proofErr w:type="gramEnd"/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F339965" w14:textId="77777777" w:rsidR="0008222A" w:rsidRPr="00E9769D" w:rsidRDefault="0008222A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F - nedostatečně</w:t>
            </w:r>
            <w:proofErr w:type="gramEnd"/>
          </w:p>
        </w:tc>
      </w:tr>
    </w:tbl>
    <w:p w14:paraId="5CE34D7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sectPr w:rsidR="00EF706C" w:rsidRPr="000A7C26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39D92" w14:textId="77777777" w:rsidR="002D6E15" w:rsidRDefault="002D6E15" w:rsidP="005A4D36">
      <w:pPr>
        <w:spacing w:after="0"/>
      </w:pPr>
      <w:r>
        <w:separator/>
      </w:r>
    </w:p>
  </w:endnote>
  <w:endnote w:type="continuationSeparator" w:id="0">
    <w:p w14:paraId="426086CE" w14:textId="77777777" w:rsidR="002D6E15" w:rsidRDefault="002D6E15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1A2EB" w14:textId="77777777" w:rsidR="002D6E15" w:rsidRDefault="002D6E15" w:rsidP="005A4D36">
      <w:pPr>
        <w:spacing w:after="0"/>
      </w:pPr>
      <w:r>
        <w:separator/>
      </w:r>
    </w:p>
  </w:footnote>
  <w:footnote w:type="continuationSeparator" w:id="0">
    <w:p w14:paraId="05FD0C2C" w14:textId="77777777" w:rsidR="002D6E15" w:rsidRDefault="002D6E15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BE4998" w:rsidP="005A4D36">
          <w:pPr>
            <w:pStyle w:val="Zhlav"/>
            <w:ind w:left="0"/>
            <w:jc w:val="center"/>
          </w:pPr>
          <w: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55pt;height:81.65pt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8222A"/>
    <w:rsid w:val="000A7C26"/>
    <w:rsid w:val="000C6557"/>
    <w:rsid w:val="0019484C"/>
    <w:rsid w:val="001A0EED"/>
    <w:rsid w:val="001C0D6B"/>
    <w:rsid w:val="001C7604"/>
    <w:rsid w:val="001F41EA"/>
    <w:rsid w:val="00207553"/>
    <w:rsid w:val="0022080E"/>
    <w:rsid w:val="00284EFD"/>
    <w:rsid w:val="002C2146"/>
    <w:rsid w:val="002D6E15"/>
    <w:rsid w:val="002E6B6C"/>
    <w:rsid w:val="00320661"/>
    <w:rsid w:val="003A5A41"/>
    <w:rsid w:val="004515E3"/>
    <w:rsid w:val="004821A6"/>
    <w:rsid w:val="004F69CC"/>
    <w:rsid w:val="00513F1E"/>
    <w:rsid w:val="005612D2"/>
    <w:rsid w:val="00582599"/>
    <w:rsid w:val="005A4D36"/>
    <w:rsid w:val="005C03DA"/>
    <w:rsid w:val="005F2F26"/>
    <w:rsid w:val="006329D0"/>
    <w:rsid w:val="006A4F85"/>
    <w:rsid w:val="006D7B74"/>
    <w:rsid w:val="00773AF9"/>
    <w:rsid w:val="007A64F7"/>
    <w:rsid w:val="007D08D3"/>
    <w:rsid w:val="007E5AB5"/>
    <w:rsid w:val="00820251"/>
    <w:rsid w:val="00820C1E"/>
    <w:rsid w:val="00821E96"/>
    <w:rsid w:val="008847F0"/>
    <w:rsid w:val="00890166"/>
    <w:rsid w:val="008D19CD"/>
    <w:rsid w:val="009024D4"/>
    <w:rsid w:val="00931DBC"/>
    <w:rsid w:val="009571C4"/>
    <w:rsid w:val="009E57DC"/>
    <w:rsid w:val="00A216E8"/>
    <w:rsid w:val="00A64177"/>
    <w:rsid w:val="00A757A5"/>
    <w:rsid w:val="00A778B3"/>
    <w:rsid w:val="00AE6763"/>
    <w:rsid w:val="00B558D4"/>
    <w:rsid w:val="00B7376F"/>
    <w:rsid w:val="00BA40C6"/>
    <w:rsid w:val="00BA7925"/>
    <w:rsid w:val="00BE4998"/>
    <w:rsid w:val="00C648B1"/>
    <w:rsid w:val="00C72590"/>
    <w:rsid w:val="00C911E9"/>
    <w:rsid w:val="00CA073F"/>
    <w:rsid w:val="00CD5972"/>
    <w:rsid w:val="00CF7F52"/>
    <w:rsid w:val="00D772DE"/>
    <w:rsid w:val="00D77369"/>
    <w:rsid w:val="00E06851"/>
    <w:rsid w:val="00E25B3F"/>
    <w:rsid w:val="00E87C6C"/>
    <w:rsid w:val="00EF297A"/>
    <w:rsid w:val="00EF706C"/>
    <w:rsid w:val="00F025A4"/>
    <w:rsid w:val="00F238C4"/>
    <w:rsid w:val="00F700AF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CBF30-8405-46DD-AEAB-DAB82908634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00406292-4964-4929-9097-6365269a3cb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5518DA7-B212-4C1F-880C-7E1A85A08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5F3B4-F570-4D60-9016-74D623F7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2024-05-31T10:35:00Z</cp:lastPrinted>
  <dcterms:created xsi:type="dcterms:W3CDTF">2024-05-31T10:44:00Z</dcterms:created>
  <dcterms:modified xsi:type="dcterms:W3CDTF">2024-05-31T10:44:00Z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