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58F330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2FDB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EA2FDB">
        <w:rPr>
          <w:rFonts w:asciiTheme="minorHAnsi" w:hAnsiTheme="minorHAnsi" w:cstheme="minorHAnsi"/>
          <w:sz w:val="22"/>
          <w:szCs w:val="22"/>
        </w:rPr>
        <w:t>Gago</w:t>
      </w:r>
      <w:proofErr w:type="spellEnd"/>
    </w:p>
    <w:p w14:paraId="01DAD7B2" w14:textId="7CDCB1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2FDB">
        <w:rPr>
          <w:rFonts w:asciiTheme="minorHAnsi" w:hAnsiTheme="minorHAnsi" w:cstheme="minorHAnsi"/>
          <w:sz w:val="22"/>
          <w:szCs w:val="22"/>
        </w:rPr>
        <w:t>Karel Slinták</w:t>
      </w:r>
    </w:p>
    <w:p w14:paraId="25875F82" w14:textId="77777777" w:rsidR="00EA2FDB" w:rsidRDefault="00037B1A" w:rsidP="00EA2FD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2FDB" w:rsidRPr="00EA2FDB">
        <w:rPr>
          <w:rFonts w:cstheme="minorHAnsi"/>
        </w:rPr>
        <w:t xml:space="preserve">Analýza nákladů společnosti Berani Zlín, </w:t>
      </w:r>
      <w:proofErr w:type="spellStart"/>
      <w:r w:rsidR="00EA2FDB" w:rsidRPr="00EA2FDB">
        <w:rPr>
          <w:rFonts w:cstheme="minorHAnsi"/>
        </w:rPr>
        <w:t>s.r.o.</w:t>
      </w:r>
    </w:p>
    <w:p w14:paraId="3F08876F" w14:textId="526FC939" w:rsidR="00037B1A" w:rsidRPr="009C322A" w:rsidRDefault="00037B1A" w:rsidP="00EA2FDB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2FDB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316D31" w:rsidR="000E094A" w:rsidRDefault="00EA2F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F69F15B" w:rsidR="000E094A" w:rsidRPr="000E094A" w:rsidRDefault="00EA2F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odpovídají zaměření práce a jejímu obsahovému zaměření.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407785" w:rsidR="000E094A" w:rsidRDefault="00EA2F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53D11C7" w:rsidR="000E094A" w:rsidRPr="000E094A" w:rsidRDefault="00EA2F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standardně, obsahuje odkazy na vhodnou literaturu včetně způsobu citování, které odpovídá požadované normě.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E24564" w:rsidR="000E094A" w:rsidRDefault="00AF47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D510747" w:rsidR="000E094A" w:rsidRDefault="00EA2F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analýze nákladů dané firmy nemám výhrady. Jsou zde analyzovány zejména náklady dle druhového členění nákladů ve dvou základních variantách rozboru a dále pak autor vhodně rozebírá koncept řízení nákladů s ohledem na nákladové typologie a možnosti, které z těchto typologií vyplývají.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DA3C0F" w:rsidR="000E094A" w:rsidRDefault="00AF47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168AEBC" w:rsidR="000E094A" w:rsidRPr="000E094A" w:rsidRDefault="00AF47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vhodně navazují na teoretická východiska a analytickou část práce, přičemž autor práce prokazuje schopnost identifikované nedostatky v řízení nákladů eliminovat novými způsoby řízení nákladů, mezi něž patří zejména nákladové modely a kapacitní členění nákladů.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9374B6" w:rsidR="000E094A" w:rsidRDefault="00AF47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08870394" w:rsidR="000E094A" w:rsidRPr="000E094A" w:rsidRDefault="00AF47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úroveň práce</w:t>
            </w:r>
            <w:r w:rsidR="007705A3">
              <w:rPr>
                <w:rFonts w:cstheme="minorHAnsi"/>
              </w:rPr>
              <w:t xml:space="preserve"> a nemám k ní výhrady.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5974D4" w:rsidR="009C7318" w:rsidRDefault="007705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49321EDD" w:rsidR="009D67D5" w:rsidRPr="000E094A" w:rsidRDefault="007705A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se o velmi dobře zpracovanou práci se zaměření na nákladovou analýzu, jejímž výstupem je zavedení nové nákladové typologie, která umožňuje daleko lépe řídit náklady ve vybrané firmě.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6D597506" w:rsidR="005C4ACA" w:rsidRPr="007705A3" w:rsidRDefault="005C4ACA" w:rsidP="007705A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8AB5E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05A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05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4142C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05A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DFDC3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05A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7705A3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AF476F"/>
    <w:rsid w:val="00B14451"/>
    <w:rsid w:val="00BA16DD"/>
    <w:rsid w:val="00C415FB"/>
    <w:rsid w:val="00CA34A9"/>
    <w:rsid w:val="00CD12C3"/>
    <w:rsid w:val="00D90835"/>
    <w:rsid w:val="00DC7D52"/>
    <w:rsid w:val="00E22423"/>
    <w:rsid w:val="00EA2FDB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8" ma:contentTypeDescription="Vytvoří nový dokument" ma:contentTypeScope="" ma:versionID="58f04e6a636b2307c0bcec364f59e2f8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4db610af4731ce4f2e492bf91135a5f1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8594f4-16e5-4c67-941d-4255fc8f6cba"/>
    <ds:schemaRef ds:uri="cf822508-510a-46dd-ac7a-ddf5fa42e9d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54C1A5-3393-47CD-9B2C-D82DC97F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E00EC-112D-41FF-9193-DD04F4C4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2</cp:revision>
  <cp:lastPrinted>2022-03-14T11:55:00Z</cp:lastPrinted>
  <dcterms:created xsi:type="dcterms:W3CDTF">2024-06-03T13:46:00Z</dcterms:created>
  <dcterms:modified xsi:type="dcterms:W3CDTF">2024-06-03T13:46:00Z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