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7BF68C8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EA0A95">
        <w:rPr>
          <w:rFonts w:asciiTheme="minorHAnsi" w:hAnsiTheme="minorHAnsi" w:cstheme="minorHAnsi"/>
          <w:sz w:val="22"/>
          <w:szCs w:val="22"/>
        </w:rPr>
        <w:t>Ludmila Bařinková</w:t>
      </w:r>
    </w:p>
    <w:p w14:paraId="00D6BB86" w14:textId="31315754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EA0A95">
        <w:rPr>
          <w:rFonts w:asciiTheme="minorHAnsi" w:hAnsiTheme="minorHAnsi" w:cstheme="minorHAnsi"/>
          <w:sz w:val="22"/>
          <w:szCs w:val="22"/>
        </w:rPr>
        <w:t>Ing. Viera Pechancová, PhD.</w:t>
      </w:r>
    </w:p>
    <w:p w14:paraId="09E4DE65" w14:textId="635E4C20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EA0A95">
        <w:rPr>
          <w:rFonts w:cstheme="minorHAnsi"/>
        </w:rPr>
        <w:t>Návrh rámce sběru dat pro nefinanční reporting ve vybrané společnosti</w:t>
      </w:r>
    </w:p>
    <w:p w14:paraId="35028D0F" w14:textId="6A94F113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EA0A9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51FFE58" w:rsidR="000E094A" w:rsidRDefault="0073150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6910D4F8" w:rsidR="000E094A" w:rsidRPr="000E094A" w:rsidRDefault="00FB10C7" w:rsidP="009E5A9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B10C7">
              <w:rPr>
                <w:rFonts w:cstheme="minorHAnsi"/>
              </w:rPr>
              <w:t>Cíle práce jsou jasně a přehledně formulovány a odpovídají zaměření práce. Hlavní cíl – návrh rámce sběru nefinančních dat pro vybranou společnost – je v souladu s aktuálními požadavky legislativy EU a vychází z důkladného zhodnocení výchozího stavu. Použité metody – obsahová analýza, induktivní přístup, komparativní analýza i analýza nákladů a přínosů – jsou relevantní a vhodné pro naplnění cílů práce. Ve formální části metodiky by však bylo vhodné precizněji uvést zdroje dat a lépe rozlišit mezi primárními a sekundárními daty. Tyto jsou ale doloženy v praktické části.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1D94DF3" w:rsidR="000E094A" w:rsidRDefault="000D2E4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476CC700" w:rsidR="000E094A" w:rsidRPr="000E094A" w:rsidRDefault="009E5A9D" w:rsidP="009E5A9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E5A9D">
              <w:rPr>
                <w:rFonts w:cstheme="minorHAnsi"/>
              </w:rPr>
              <w:t>Teoretická část práce je rozsáhlá, přehledně strukturovaná a nabízí solidní literární rešerši k tématu ESG, CSRD a nefinančního reportingu. Autorka využila jak domácí, tak zahraniční odborné zdroje, přičemž zvolená literatura odpovídá současnému stavu poznání. Citace jsou uváděny v souladu s normou, teoretická část poskytuje kvalitní teoretický rámec pro praktickou aplikaci. Místy by bylo možné více reflektovat kritické aspekty vybraných konceptů (např. omezení stávajících rámců ESG).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7902325" w:rsidR="000E094A" w:rsidRDefault="008D5BF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3523ACC6" w:rsidR="000E094A" w:rsidRPr="000E094A" w:rsidRDefault="009E5A9D" w:rsidP="009E5A9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E5A9D">
              <w:rPr>
                <w:rFonts w:cstheme="minorHAnsi"/>
              </w:rPr>
              <w:t xml:space="preserve">Analytická část je zpracována pečlivě a tvoří </w:t>
            </w:r>
            <w:r w:rsidR="000D2E4C">
              <w:rPr>
                <w:rFonts w:cstheme="minorHAnsi"/>
              </w:rPr>
              <w:t>dobrý</w:t>
            </w:r>
            <w:r w:rsidRPr="009E5A9D">
              <w:rPr>
                <w:rFonts w:cstheme="minorHAnsi"/>
              </w:rPr>
              <w:t xml:space="preserve"> základ pro návrhovou část. Autorka představila analyzovanou společnost, zmapovala její současný přístup k nefinančnímu reportingu a provedla podrobnou analýzu vnitropodnikových směrnic. Pozitivně lze hodnotit využití obsahové analýzy i porovnání přístupů s konkurencí. Závěry analýzy jsou podloženy konkrétními výstupy a tabulkami, analýza současného stavu je komplexní a dobře strukturovaná.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81A2520" w:rsidR="000E094A" w:rsidRDefault="000D2E4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02BD8D6A" w:rsidR="000E094A" w:rsidRPr="000E094A" w:rsidRDefault="009E5A9D" w:rsidP="009E5A9D">
            <w:pPr>
              <w:rPr>
                <w:rFonts w:cstheme="minorHAnsi"/>
              </w:rPr>
            </w:pPr>
            <w:r w:rsidRPr="009E5A9D">
              <w:rPr>
                <w:rFonts w:cstheme="minorHAnsi"/>
              </w:rPr>
              <w:t>Na základě analytické části autorka navrhla konkrétní rámec sběru nefinančních dat, který je přehledně členěn podle jednotlivých oblastí ESRS (environmentální, sociální, řízení). Návrh zahrnuje i zhodnocení nákladů a přínosů a přináší podnětný pohled na možné finanční dopady implementace reportingu. Část návrhová je však poměrně deskriptivní, některé kroky (např. výběr konkrétních indikátorů) by zasloužily hlubší oporu v analýze nebo literatuře. Uvedené výstupy by mohly být doplněny o časový plán a organizační odpovědnosti.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187BFCD" w:rsidR="000E094A" w:rsidRDefault="000D2E4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15653E0B" w:rsidR="000E094A" w:rsidRPr="000E094A" w:rsidRDefault="000D2E4C" w:rsidP="000D2E4C">
            <w:pPr>
              <w:rPr>
                <w:rFonts w:cstheme="minorHAnsi"/>
              </w:rPr>
            </w:pPr>
            <w:r w:rsidRPr="000D2E4C">
              <w:rPr>
                <w:rFonts w:cstheme="minorHAnsi"/>
              </w:rPr>
              <w:t>Práce je celkově dobře strukturována, odborný jazyk je použit správně a odpovídá zvyklostem v daném oboru. Terminologie je používána konzistentně. Grafické znázornění (tabulky, obrázky) podporuje srozumitelnost práce, nicméně některé tabulky by mohly být přesněji označeny (např. zda jde o data analyzované společnosti či obecné). Citace jsou prováděny dle platné normy.</w:t>
            </w:r>
            <w:r w:rsidR="00BB076C">
              <w:rPr>
                <w:rFonts w:cstheme="minorHAnsi"/>
              </w:rPr>
              <w:t xml:space="preserve"> Nejvyšší míra podobnosti </w:t>
            </w:r>
            <w:proofErr w:type="gramStart"/>
            <w:r w:rsidR="00BB076C">
              <w:rPr>
                <w:rFonts w:cstheme="minorHAnsi"/>
              </w:rPr>
              <w:t>72%</w:t>
            </w:r>
            <w:proofErr w:type="gramEnd"/>
            <w:r w:rsidR="00BB076C">
              <w:rPr>
                <w:rFonts w:cstheme="minorHAnsi"/>
              </w:rPr>
              <w:t xml:space="preserve"> </w:t>
            </w:r>
            <w:r w:rsidR="003B1F7D">
              <w:rPr>
                <w:rFonts w:cstheme="minorHAnsi"/>
              </w:rPr>
              <w:t xml:space="preserve">vychází </w:t>
            </w:r>
            <w:r w:rsidR="00BB076C">
              <w:rPr>
                <w:rFonts w:cstheme="minorHAnsi"/>
              </w:rPr>
              <w:t xml:space="preserve">z důvodu uvedení názvů </w:t>
            </w:r>
            <w:r w:rsidR="003B1F7D">
              <w:rPr>
                <w:rFonts w:cstheme="minorHAnsi"/>
              </w:rPr>
              <w:t xml:space="preserve">jednotlivých </w:t>
            </w:r>
            <w:r w:rsidR="00BB076C">
              <w:rPr>
                <w:rFonts w:cstheme="minorHAnsi"/>
              </w:rPr>
              <w:t xml:space="preserve">ESRS standardů v příloze, nicméně v rámci práce samotné je nejvyšší </w:t>
            </w:r>
            <w:r w:rsidR="003B1F7D">
              <w:rPr>
                <w:rFonts w:cstheme="minorHAnsi"/>
              </w:rPr>
              <w:t>míra podobnosti</w:t>
            </w:r>
            <w:r w:rsidR="00BB076C">
              <w:rPr>
                <w:rFonts w:cstheme="minorHAnsi"/>
              </w:rPr>
              <w:t xml:space="preserve"> na úrovni 3%. 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200BC54" w:rsidR="009C7318" w:rsidRDefault="00AA165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5BB9E620" w:rsidR="00386EEB" w:rsidRPr="000E094A" w:rsidRDefault="000D2E4C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D2E4C">
              <w:rPr>
                <w:rFonts w:cstheme="minorHAnsi"/>
              </w:rPr>
              <w:t>Práce představuje ucelený a</w:t>
            </w:r>
            <w:r>
              <w:rPr>
                <w:rFonts w:cstheme="minorHAnsi"/>
              </w:rPr>
              <w:t xml:space="preserve"> velice</w:t>
            </w:r>
            <w:r w:rsidRPr="000D2E4C">
              <w:rPr>
                <w:rFonts w:cstheme="minorHAnsi"/>
              </w:rPr>
              <w:t xml:space="preserve"> aktuální příspěvek k problematice nefinančního reportingu a přináší prakticky využitelný návrh pro firemní praxi. Silnou stránkou je analytická část a orientace v legislativní problematice. Návrhová část by mohla být propracovanější z hlediska argumentace a konkrétních implementačních kroků. Celkově se</w:t>
            </w:r>
            <w:r w:rsidR="003B1F7D">
              <w:rPr>
                <w:rFonts w:cstheme="minorHAnsi"/>
              </w:rPr>
              <w:t xml:space="preserve"> však</w:t>
            </w:r>
            <w:r w:rsidRPr="000D2E4C">
              <w:rPr>
                <w:rFonts w:cstheme="minorHAnsi"/>
              </w:rPr>
              <w:t xml:space="preserve"> jedná o solidní práci, která prokazuje schopnost samostatného řešení odborného problému s využitím relevantních metod a pramenů.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518C17DD" w14:textId="558CBC11" w:rsidR="0073150F" w:rsidRPr="0073150F" w:rsidRDefault="0073150F" w:rsidP="0073150F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1.</w:t>
      </w:r>
      <w:r w:rsidRPr="0073150F">
        <w:rPr>
          <w:rFonts w:cstheme="minorHAnsi"/>
        </w:rPr>
        <w:t xml:space="preserve">Na </w:t>
      </w:r>
      <w:proofErr w:type="gramStart"/>
      <w:r w:rsidRPr="0073150F">
        <w:rPr>
          <w:rFonts w:cstheme="minorHAnsi"/>
        </w:rPr>
        <w:t>základě</w:t>
      </w:r>
      <w:proofErr w:type="gramEnd"/>
      <w:r w:rsidRPr="0073150F">
        <w:rPr>
          <w:rFonts w:cstheme="minorHAnsi"/>
        </w:rPr>
        <w:t xml:space="preserve"> čeho jste vybrala konkrétní standardy ESRS pro návrh rámce sběru nefinančních dat a jak jste určovala jejich významnost pro analyzovanou společnost?</w:t>
      </w:r>
    </w:p>
    <w:p w14:paraId="067C4BEF" w14:textId="77777777" w:rsidR="0073150F" w:rsidRPr="0073150F" w:rsidRDefault="0073150F" w:rsidP="0073150F">
      <w:pPr>
        <w:pStyle w:val="Odstavecseseznamem"/>
        <w:spacing w:after="120" w:line="240" w:lineRule="auto"/>
        <w:ind w:left="714"/>
        <w:jc w:val="both"/>
        <w:rPr>
          <w:rFonts w:cstheme="minorHAnsi"/>
        </w:rPr>
      </w:pPr>
    </w:p>
    <w:p w14:paraId="1991DEDB" w14:textId="10BE81FD" w:rsidR="005C4ACA" w:rsidRPr="0073150F" w:rsidRDefault="0073150F" w:rsidP="0073150F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2.</w:t>
      </w:r>
      <w:r w:rsidRPr="0073150F">
        <w:rPr>
          <w:rFonts w:cstheme="minorHAnsi"/>
        </w:rPr>
        <w:t>Jaké konkrétní překážky očekáváte při praktické implementaci Vámi navrženého rámce sběru dat a jaké kroky by podle Vás měly následovat, aby bylo zavedení v praxi úspěšné?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4E3072FA" w14:textId="618C913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115E2E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115E2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3B134DC9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115E2E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C2E822D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0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F00F68">
            <w:rPr>
              <w:rFonts w:cstheme="minorHAnsi"/>
            </w:rPr>
            <w:t>08.05.2025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30B351" w14:textId="77777777" w:rsidR="00D51406" w:rsidRDefault="00D51406" w:rsidP="00A40E93">
      <w:pPr>
        <w:spacing w:after="0" w:line="240" w:lineRule="auto"/>
      </w:pPr>
      <w:r>
        <w:separator/>
      </w:r>
    </w:p>
  </w:endnote>
  <w:endnote w:type="continuationSeparator" w:id="0">
    <w:p w14:paraId="31A8F905" w14:textId="77777777" w:rsidR="00D51406" w:rsidRDefault="00D51406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4EAD21" w14:textId="77777777" w:rsidR="00D51406" w:rsidRDefault="00D51406" w:rsidP="00A40E93">
      <w:pPr>
        <w:spacing w:after="0" w:line="240" w:lineRule="auto"/>
      </w:pPr>
      <w:r>
        <w:separator/>
      </w:r>
    </w:p>
  </w:footnote>
  <w:footnote w:type="continuationSeparator" w:id="0">
    <w:p w14:paraId="005B552B" w14:textId="77777777" w:rsidR="00D51406" w:rsidRDefault="00D51406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FF533C"/>
    <w:multiLevelType w:val="hybridMultilevel"/>
    <w:tmpl w:val="F0105C9E"/>
    <w:lvl w:ilvl="0" w:tplc="AAC859F8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031FD"/>
    <w:multiLevelType w:val="hybridMultilevel"/>
    <w:tmpl w:val="E064D868"/>
    <w:lvl w:ilvl="0" w:tplc="AAC859F8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D2E4C"/>
    <w:rsid w:val="000E094A"/>
    <w:rsid w:val="00115E2E"/>
    <w:rsid w:val="00144F5B"/>
    <w:rsid w:val="001A20C4"/>
    <w:rsid w:val="001A3F0F"/>
    <w:rsid w:val="0024258E"/>
    <w:rsid w:val="00255A8D"/>
    <w:rsid w:val="0029651C"/>
    <w:rsid w:val="002D6FF7"/>
    <w:rsid w:val="00351912"/>
    <w:rsid w:val="00366C75"/>
    <w:rsid w:val="00386EEB"/>
    <w:rsid w:val="003A2041"/>
    <w:rsid w:val="003B1F7D"/>
    <w:rsid w:val="004D378C"/>
    <w:rsid w:val="00522201"/>
    <w:rsid w:val="005C4ACA"/>
    <w:rsid w:val="005D6F84"/>
    <w:rsid w:val="0067082B"/>
    <w:rsid w:val="00694399"/>
    <w:rsid w:val="006C183B"/>
    <w:rsid w:val="006C4198"/>
    <w:rsid w:val="0073150F"/>
    <w:rsid w:val="0073639B"/>
    <w:rsid w:val="007553A6"/>
    <w:rsid w:val="0085398A"/>
    <w:rsid w:val="008B781B"/>
    <w:rsid w:val="008D5BF9"/>
    <w:rsid w:val="008E2072"/>
    <w:rsid w:val="008E6C95"/>
    <w:rsid w:val="009424A9"/>
    <w:rsid w:val="00974EA2"/>
    <w:rsid w:val="0097798F"/>
    <w:rsid w:val="00987B93"/>
    <w:rsid w:val="009C322A"/>
    <w:rsid w:val="009C7318"/>
    <w:rsid w:val="009E5A9D"/>
    <w:rsid w:val="00A060CF"/>
    <w:rsid w:val="00A3161E"/>
    <w:rsid w:val="00A40E93"/>
    <w:rsid w:val="00A7527E"/>
    <w:rsid w:val="00AA1651"/>
    <w:rsid w:val="00B14451"/>
    <w:rsid w:val="00BA16DD"/>
    <w:rsid w:val="00BB076C"/>
    <w:rsid w:val="00C02883"/>
    <w:rsid w:val="00C94C9D"/>
    <w:rsid w:val="00CA34A9"/>
    <w:rsid w:val="00CC5272"/>
    <w:rsid w:val="00CD12C3"/>
    <w:rsid w:val="00D51406"/>
    <w:rsid w:val="00DA679F"/>
    <w:rsid w:val="00DC358F"/>
    <w:rsid w:val="00DC7D52"/>
    <w:rsid w:val="00E22423"/>
    <w:rsid w:val="00E60843"/>
    <w:rsid w:val="00EA0A95"/>
    <w:rsid w:val="00EF01D5"/>
    <w:rsid w:val="00EF1720"/>
    <w:rsid w:val="00F00F68"/>
    <w:rsid w:val="00FB10C7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4281C"/>
    <w:rsid w:val="004D0226"/>
    <w:rsid w:val="00510546"/>
    <w:rsid w:val="005E083B"/>
    <w:rsid w:val="00655B4E"/>
    <w:rsid w:val="00657604"/>
    <w:rsid w:val="006C183B"/>
    <w:rsid w:val="00A00291"/>
    <w:rsid w:val="00AC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839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2025-05-12T05:31:00Z</dcterms:created>
  <dcterms:modified xsi:type="dcterms:W3CDTF">2025-05-12T05:31:00Z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