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1D351C6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E0255" w:rsidRPr="001E0255">
        <w:rPr>
          <w:rFonts w:asciiTheme="minorHAnsi" w:hAnsiTheme="minorHAnsi" w:cstheme="minorHAnsi"/>
          <w:sz w:val="22"/>
          <w:szCs w:val="22"/>
        </w:rPr>
        <w:t>Tereza M</w:t>
      </w:r>
      <w:r w:rsidR="001E0255">
        <w:rPr>
          <w:rFonts w:asciiTheme="minorHAnsi" w:hAnsiTheme="minorHAnsi" w:cstheme="minorHAnsi"/>
          <w:sz w:val="22"/>
          <w:szCs w:val="22"/>
        </w:rPr>
        <w:t>álková</w:t>
      </w:r>
    </w:p>
    <w:p w14:paraId="7BEB1D07" w14:textId="7D4FC85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E0255">
        <w:rPr>
          <w:rFonts w:asciiTheme="minorHAnsi" w:hAnsiTheme="minorHAnsi" w:cstheme="minorHAnsi"/>
          <w:sz w:val="22"/>
          <w:szCs w:val="22"/>
        </w:rPr>
        <w:t>doc. Ing. Marie Paseková, Ph.D.</w:t>
      </w:r>
    </w:p>
    <w:p w14:paraId="05C5954D" w14:textId="4938CB02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001DB" w:rsidRPr="009001DB">
        <w:rPr>
          <w:rFonts w:cstheme="minorHAnsi"/>
        </w:rPr>
        <w:t>P</w:t>
      </w:r>
      <w:r w:rsidR="009001DB">
        <w:rPr>
          <w:rFonts w:cstheme="minorHAnsi"/>
        </w:rPr>
        <w:t>ř</w:t>
      </w:r>
      <w:r w:rsidR="009001DB" w:rsidRPr="009001DB">
        <w:rPr>
          <w:rFonts w:cstheme="minorHAnsi"/>
        </w:rPr>
        <w:t>echod z</w:t>
      </w:r>
      <w:r w:rsidR="009001DB">
        <w:rPr>
          <w:rFonts w:cstheme="minorHAnsi"/>
        </w:rPr>
        <w:t> </w:t>
      </w:r>
      <w:r w:rsidR="009001DB" w:rsidRPr="009001DB">
        <w:rPr>
          <w:rFonts w:cstheme="minorHAnsi"/>
        </w:rPr>
        <w:t>da</w:t>
      </w:r>
      <w:r w:rsidR="009001DB">
        <w:rPr>
          <w:rFonts w:cstheme="minorHAnsi"/>
        </w:rPr>
        <w:t xml:space="preserve">ňové </w:t>
      </w:r>
      <w:r w:rsidR="009001DB" w:rsidRPr="009001DB">
        <w:rPr>
          <w:rFonts w:cstheme="minorHAnsi"/>
        </w:rPr>
        <w:t xml:space="preserve">evidence na </w:t>
      </w:r>
      <w:r w:rsidR="00FF529D">
        <w:rPr>
          <w:rFonts w:cstheme="minorHAnsi"/>
        </w:rPr>
        <w:t>úč</w:t>
      </w:r>
      <w:r w:rsidR="009001DB" w:rsidRPr="009001DB">
        <w:rPr>
          <w:rFonts w:cstheme="minorHAnsi"/>
        </w:rPr>
        <w:t>etn</w:t>
      </w:r>
      <w:r w:rsidR="0012768C">
        <w:rPr>
          <w:rFonts w:cstheme="minorHAnsi"/>
        </w:rPr>
        <w:t>i</w:t>
      </w:r>
      <w:r w:rsidR="009001DB" w:rsidRPr="009001DB">
        <w:rPr>
          <w:rFonts w:cstheme="minorHAnsi"/>
        </w:rPr>
        <w:t>ctv</w:t>
      </w:r>
      <w:r w:rsidR="00FF529D">
        <w:rPr>
          <w:rFonts w:cstheme="minorHAnsi"/>
        </w:rPr>
        <w:t>í</w:t>
      </w:r>
    </w:p>
    <w:p w14:paraId="07FD52EA" w14:textId="3479C0D8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F529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DA96B5D" w:rsidR="000E094A" w:rsidRDefault="002D074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A29F23" w14:textId="77777777" w:rsidR="00AF3CA4" w:rsidRPr="000E094A" w:rsidRDefault="00AF3CA4" w:rsidP="00AF3CA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práce je formulován srozumitelně a použité metody jsou adekvátní </w:t>
            </w:r>
            <w:r>
              <w:rPr>
                <w:sz w:val="24"/>
              </w:rPr>
              <w:t>pro zpracování dané problematiky vzhledem ke stanoveným cílům.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91D82D8" w:rsidR="000E094A" w:rsidRDefault="001B19C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1E033" w14:textId="67ED0621" w:rsidR="000C4761" w:rsidRDefault="000C4761" w:rsidP="000C476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color w:val="000000" w:themeColor="text1"/>
              </w:rPr>
              <w:t xml:space="preserve">V teoretické části práce je na základě literární rešerše popsána problematika </w:t>
            </w:r>
            <w:r w:rsidR="008A5D0B">
              <w:rPr>
                <w:color w:val="000000" w:themeColor="text1"/>
              </w:rPr>
              <w:t>přechodu z daňové evidence na účetnictví</w:t>
            </w:r>
            <w:r>
              <w:rPr>
                <w:color w:val="000000" w:themeColor="text1"/>
              </w:rPr>
              <w:t xml:space="preserve">. Prostřednictvím teoretické části práce je vytvořeno východisko pro část praktickou, která se zabývá analýzou </w:t>
            </w:r>
            <w:r w:rsidR="005215B8">
              <w:rPr>
                <w:color w:val="000000" w:themeColor="text1"/>
              </w:rPr>
              <w:t>současné daňové evidence vybraného podnikat</w:t>
            </w:r>
            <w:r w:rsidR="00A80FEC">
              <w:rPr>
                <w:color w:val="000000" w:themeColor="text1"/>
              </w:rPr>
              <w:t>ele.</w:t>
            </w:r>
          </w:p>
          <w:p w14:paraId="6932D992" w14:textId="77777777" w:rsidR="000C4761" w:rsidRPr="000E094A" w:rsidRDefault="000C4761" w:rsidP="000C476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vhodně zvolila domácí a zahraniční zdroje. Způsob citování je proveden adekvátním způsobem.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D0230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A46D412" w:rsidR="000E094A" w:rsidRDefault="001B19C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103B0" w14:textId="49463E72" w:rsidR="000E094A" w:rsidRPr="000E094A" w:rsidRDefault="00355D76" w:rsidP="00355D7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55D76">
              <w:rPr>
                <w:rFonts w:cstheme="minorHAnsi"/>
              </w:rPr>
              <w:t xml:space="preserve">Analytická část využívá teoretické poznatky, které byly vhodně aplikovány. Autorka dostatečně popsala postup aplikace metod práce a souhrnně zhodnotila současný stav. Praktická část obsahuje analýzu současné daňové evidence u vybraného podnikatele a uplatňování výdajů z hlediska jejich dopadu na daňovou povinnost. Dále srovnává výhodnost vedení účetnictví s daňovou evidencí. </w:t>
            </w:r>
          </w:p>
        </w:tc>
      </w:tr>
    </w:tbl>
    <w:p w14:paraId="530A7CCA" w14:textId="3DC2B6CE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E0FB65F" w:rsidR="000E094A" w:rsidRDefault="00C508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F5AC49" w14:textId="010405F8" w:rsidR="00973A20" w:rsidRPr="00973A20" w:rsidRDefault="002A1415" w:rsidP="00973A2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p</w:t>
            </w:r>
            <w:r w:rsidR="00973A20" w:rsidRPr="00973A20">
              <w:rPr>
                <w:rFonts w:cstheme="minorHAnsi"/>
              </w:rPr>
              <w:t>odrobně rozebírá veškeré činnosti, které musí podnikatel provést k prvnímu dni vedení účetnictví. Zaměřuje se na sestavení převodového mostku, podle něhož jsou následně otevřeny účetní knihy a sestavena počáteční rozvaha. Kapitola se rovněž zabývá úpravou základu daně ke konci prvního účetního období, který je upraven pouze o hodnotu jedné pohledávky vůči odběrateli.</w:t>
            </w:r>
          </w:p>
          <w:p w14:paraId="2DAB9A5B" w14:textId="77777777" w:rsidR="00973A20" w:rsidRPr="00973A20" w:rsidRDefault="00973A20" w:rsidP="00973A2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73A20">
              <w:rPr>
                <w:rFonts w:cstheme="minorHAnsi"/>
              </w:rPr>
              <w:t>Na tuto kapitolu navazuje následující kapitola, která upřesňuje následné vedení účetnictví v případě, že by se podnikatel rozhodl daný přechod podstoupit. Poslední kapitola praktické části se věnuje zhodnocení, zda je pro podnikatele efektivní přechod z daňové evidence na účetnictví realizovat. Zároveň obsahuje doporučení při vedení daňové evidence, pokud by se vybraný podnikatel rozhodl zůstat u této evidence.</w:t>
            </w:r>
          </w:p>
          <w:p w14:paraId="2B4D537A" w14:textId="77777777" w:rsidR="00973A20" w:rsidRPr="00973A20" w:rsidRDefault="00973A20" w:rsidP="00973A2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47E1B3" w14:textId="50882E8F" w:rsidR="000E094A" w:rsidRPr="000E094A" w:rsidRDefault="00973A20" w:rsidP="00973A2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73A20">
              <w:rPr>
                <w:rFonts w:cstheme="minorHAnsi"/>
              </w:rPr>
              <w:t>Cíl bakalářské práce byl splněn.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C397D37" w:rsidR="000E094A" w:rsidRDefault="00D131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4115F5" w14:textId="77777777" w:rsidR="00BD67CE" w:rsidRPr="00C74398" w:rsidRDefault="00BD67CE" w:rsidP="00BD67CE">
            <w:pPr>
              <w:spacing w:before="120"/>
              <w:jc w:val="both"/>
            </w:pPr>
            <w:r>
              <w:t>Bakalářská</w:t>
            </w:r>
            <w:r w:rsidRPr="00C74398">
              <w:t xml:space="preserve"> práce splňuje cíle, které jsou vytyčeny v její úvodní části. Jednotlivé kapitoly na sebe logicky navazují. Pr</w:t>
            </w:r>
            <w:r>
              <w:t>aktická</w:t>
            </w:r>
            <w:r w:rsidRPr="00C74398">
              <w:t xml:space="preserve"> část využívá poznatky z</w:t>
            </w:r>
            <w:r>
              <w:t> </w:t>
            </w:r>
            <w:r w:rsidRPr="00C74398">
              <w:t>teoretické</w:t>
            </w:r>
            <w:r>
              <w:t xml:space="preserve"> části.</w:t>
            </w:r>
            <w:r w:rsidRPr="00C74398">
              <w:t xml:space="preserve"> V práci je správně použita terminologie. V práci jsou použity předepsané normy citování.</w:t>
            </w:r>
          </w:p>
          <w:p w14:paraId="5CF44A7E" w14:textId="77777777" w:rsidR="00BD67CE" w:rsidRPr="00C74398" w:rsidRDefault="00BD67CE" w:rsidP="00BD67CE">
            <w:pPr>
              <w:spacing w:before="120"/>
              <w:jc w:val="both"/>
            </w:pPr>
            <w:r w:rsidRPr="00C74398">
              <w:t xml:space="preserve">K formální stránce práce stejně jako k jazykové a grafické úrovni nemám zásadní připomínky. Formální úprava </w:t>
            </w:r>
            <w:r>
              <w:t>bakalářské</w:t>
            </w:r>
            <w:r w:rsidRPr="00C74398">
              <w:t xml:space="preserve"> práce respektuje obsahovou logiku </w:t>
            </w:r>
            <w:r>
              <w:t>bakalářské</w:t>
            </w:r>
            <w:r w:rsidRPr="00C74398">
              <w:t xml:space="preserve"> práce a podle mého názoru požadavkům kladeným na </w:t>
            </w:r>
            <w:r>
              <w:t>bakalářskou</w:t>
            </w:r>
            <w:r w:rsidRPr="00C74398">
              <w:t xml:space="preserve"> práci odpovídá.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4B664FE" w:rsidR="009C7318" w:rsidRDefault="00E8446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5CDA07AB" w14:textId="3AE49670" w:rsidR="001B19C3" w:rsidRPr="000E094A" w:rsidRDefault="001B19C3" w:rsidP="001B19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Autorce</w:t>
            </w:r>
            <w:r w:rsidRPr="00C74398">
              <w:t xml:space="preserve"> se podařilo zpracovat</w:t>
            </w:r>
            <w:r>
              <w:t xml:space="preserve"> analýzu přechod</w:t>
            </w:r>
            <w:r w:rsidR="00BE6AB7">
              <w:t>u</w:t>
            </w:r>
            <w:r>
              <w:t xml:space="preserve"> z daňové evidence na účetnictví u vybraného podnikatele.</w:t>
            </w:r>
            <w:r w:rsidRPr="00C74398">
              <w:t xml:space="preserve"> Teoretická část sumarizuje východiska pro část praktickou</w:t>
            </w:r>
            <w:r>
              <w:t>.</w:t>
            </w:r>
            <w:r w:rsidRPr="00C74398">
              <w:t xml:space="preserve"> </w:t>
            </w:r>
            <w:r>
              <w:t>Cíl práce byl úspěšně naplněn. V závěru práce autorka navrhla doporučení pro daného podnikatele.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18F01B1" w:rsidR="009C7318" w:rsidRDefault="002C5C5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Jaké jsou výhody a nevýhody přechodu z</w:t>
      </w:r>
      <w:r w:rsidR="00105C21">
        <w:t> </w:t>
      </w:r>
      <w:r>
        <w:t>daň</w:t>
      </w:r>
      <w:r w:rsidR="00105C21">
        <w:t>ové evidence</w:t>
      </w:r>
      <w:r>
        <w:t xml:space="preserve"> na účetnictví?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9F9B78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F46DB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F46D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AACDB1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F46DB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25FE2D" w14:textId="77777777" w:rsidR="00304BB1" w:rsidRDefault="00304BB1" w:rsidP="00A40E93">
      <w:pPr>
        <w:spacing w:after="0" w:line="240" w:lineRule="auto"/>
      </w:pPr>
      <w:r>
        <w:separator/>
      </w:r>
    </w:p>
  </w:endnote>
  <w:endnote w:type="continuationSeparator" w:id="0">
    <w:p w14:paraId="674AA70A" w14:textId="77777777" w:rsidR="00304BB1" w:rsidRDefault="00304BB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9F3A4D" w14:textId="77777777" w:rsidR="00304BB1" w:rsidRDefault="00304BB1" w:rsidP="00A40E93">
      <w:pPr>
        <w:spacing w:after="0" w:line="240" w:lineRule="auto"/>
      </w:pPr>
      <w:r>
        <w:separator/>
      </w:r>
    </w:p>
  </w:footnote>
  <w:footnote w:type="continuationSeparator" w:id="0">
    <w:p w14:paraId="6E8B980A" w14:textId="77777777" w:rsidR="00304BB1" w:rsidRDefault="00304BB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907AE"/>
    <w:rsid w:val="000911F7"/>
    <w:rsid w:val="000C4761"/>
    <w:rsid w:val="000E094A"/>
    <w:rsid w:val="00105C21"/>
    <w:rsid w:val="00112356"/>
    <w:rsid w:val="0012768C"/>
    <w:rsid w:val="001B19C3"/>
    <w:rsid w:val="001C6457"/>
    <w:rsid w:val="001E0255"/>
    <w:rsid w:val="0024258E"/>
    <w:rsid w:val="0029651C"/>
    <w:rsid w:val="002A1415"/>
    <w:rsid w:val="002C5C53"/>
    <w:rsid w:val="002D0740"/>
    <w:rsid w:val="00304BB1"/>
    <w:rsid w:val="00355D76"/>
    <w:rsid w:val="00396F9E"/>
    <w:rsid w:val="0042050D"/>
    <w:rsid w:val="004B24C2"/>
    <w:rsid w:val="004D378C"/>
    <w:rsid w:val="00505FF2"/>
    <w:rsid w:val="005215B8"/>
    <w:rsid w:val="00580D00"/>
    <w:rsid w:val="005A3B4A"/>
    <w:rsid w:val="005A491A"/>
    <w:rsid w:val="005C4ACA"/>
    <w:rsid w:val="006061E7"/>
    <w:rsid w:val="0067082B"/>
    <w:rsid w:val="00694399"/>
    <w:rsid w:val="006F21A7"/>
    <w:rsid w:val="0073639B"/>
    <w:rsid w:val="007553A6"/>
    <w:rsid w:val="007D66C5"/>
    <w:rsid w:val="007F1BC8"/>
    <w:rsid w:val="007F1EFB"/>
    <w:rsid w:val="0085398A"/>
    <w:rsid w:val="0089781E"/>
    <w:rsid w:val="008A5D0B"/>
    <w:rsid w:val="008B781B"/>
    <w:rsid w:val="009001DB"/>
    <w:rsid w:val="00973A20"/>
    <w:rsid w:val="00974EA2"/>
    <w:rsid w:val="00987B93"/>
    <w:rsid w:val="009A5E3D"/>
    <w:rsid w:val="009B756A"/>
    <w:rsid w:val="009C322A"/>
    <w:rsid w:val="009C7318"/>
    <w:rsid w:val="009F2BA5"/>
    <w:rsid w:val="00A40E93"/>
    <w:rsid w:val="00A64EA0"/>
    <w:rsid w:val="00A7527E"/>
    <w:rsid w:val="00A80FEC"/>
    <w:rsid w:val="00AF3CA4"/>
    <w:rsid w:val="00B14451"/>
    <w:rsid w:val="00BA16DD"/>
    <w:rsid w:val="00BD67CE"/>
    <w:rsid w:val="00BE6AB7"/>
    <w:rsid w:val="00C27492"/>
    <w:rsid w:val="00C3378C"/>
    <w:rsid w:val="00C508C8"/>
    <w:rsid w:val="00CA34A9"/>
    <w:rsid w:val="00CD12C3"/>
    <w:rsid w:val="00CE55BD"/>
    <w:rsid w:val="00D0230B"/>
    <w:rsid w:val="00D13190"/>
    <w:rsid w:val="00D14CB5"/>
    <w:rsid w:val="00D54683"/>
    <w:rsid w:val="00D61A51"/>
    <w:rsid w:val="00D65D60"/>
    <w:rsid w:val="00DC7D52"/>
    <w:rsid w:val="00DF46DB"/>
    <w:rsid w:val="00E22423"/>
    <w:rsid w:val="00E7633F"/>
    <w:rsid w:val="00E8446E"/>
    <w:rsid w:val="00EA64A6"/>
    <w:rsid w:val="00EF1720"/>
    <w:rsid w:val="00F01051"/>
    <w:rsid w:val="00F404E9"/>
    <w:rsid w:val="00F92C79"/>
    <w:rsid w:val="00FC2852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B3787F"/>
    <w:rsid w:val="00E36A82"/>
    <w:rsid w:val="00E761BF"/>
    <w:rsid w:val="00F6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2025-05-26T18:33:00Z</dcterms:created>
  <dcterms:modified xsi:type="dcterms:W3CDTF">2025-05-26T18:33:00Z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