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720"/>
        <w:gridCol w:w="2723"/>
        <w:gridCol w:w="507"/>
        <w:gridCol w:w="506"/>
        <w:gridCol w:w="506"/>
        <w:gridCol w:w="507"/>
        <w:gridCol w:w="506"/>
        <w:gridCol w:w="472"/>
      </w:tblGrid>
      <w:tr w:rsidR="006847E2" w:rsidRPr="004F7C70" w14:paraId="19262472" w14:textId="77777777" w:rsidTr="00145335">
        <w:tc>
          <w:tcPr>
            <w:tcW w:w="10170" w:type="dxa"/>
            <w:gridSpan w:val="9"/>
          </w:tcPr>
          <w:p w14:paraId="0297EB2F" w14:textId="58EC5087" w:rsidR="006847E2" w:rsidRPr="004F7C70" w:rsidRDefault="00934626" w:rsidP="00AD2438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4F7C70">
              <w:rPr>
                <w:b/>
                <w:lang w:val="en-US"/>
              </w:rPr>
              <w:t xml:space="preserve">THESIS </w:t>
            </w:r>
            <w:r w:rsidR="003A69C4" w:rsidRPr="004F7C70">
              <w:rPr>
                <w:b/>
                <w:lang w:val="en-US"/>
              </w:rPr>
              <w:t>SUPERVISOR</w:t>
            </w:r>
            <w:r w:rsidR="00CD71FB" w:rsidRPr="004F7C70">
              <w:rPr>
                <w:b/>
                <w:lang w:val="en-US"/>
              </w:rPr>
              <w:t>’</w:t>
            </w:r>
            <w:r w:rsidR="009875B9" w:rsidRPr="004F7C70">
              <w:rPr>
                <w:b/>
                <w:lang w:val="en-US"/>
              </w:rPr>
              <w:t xml:space="preserve">S </w:t>
            </w:r>
            <w:r w:rsidR="003A69C4" w:rsidRPr="004F7C70">
              <w:rPr>
                <w:b/>
                <w:lang w:val="en-US"/>
              </w:rPr>
              <w:t>ASSESSMENT</w:t>
            </w:r>
          </w:p>
        </w:tc>
      </w:tr>
      <w:tr w:rsidR="006847E2" w:rsidRPr="004F7C70" w14:paraId="4518424E" w14:textId="77777777" w:rsidTr="00145335">
        <w:tc>
          <w:tcPr>
            <w:tcW w:w="3723" w:type="dxa"/>
          </w:tcPr>
          <w:p w14:paraId="6750EFFF" w14:textId="77777777" w:rsidR="006847E2" w:rsidRPr="004F7C70" w:rsidRDefault="00967103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Student’s</w:t>
            </w:r>
            <w:r w:rsidR="003043DF" w:rsidRPr="004F7C70">
              <w:rPr>
                <w:lang w:val="en-US"/>
              </w:rPr>
              <w:t xml:space="preserve"> </w:t>
            </w:r>
            <w:r w:rsidR="009875B9" w:rsidRPr="004F7C70">
              <w:rPr>
                <w:lang w:val="en-US"/>
              </w:rPr>
              <w:t xml:space="preserve">full </w:t>
            </w:r>
            <w:r w:rsidR="00836F0C" w:rsidRPr="004F7C70">
              <w:rPr>
                <w:lang w:val="en-US"/>
              </w:rPr>
              <w:t>n</w:t>
            </w:r>
            <w:r w:rsidR="003043DF" w:rsidRPr="004F7C70">
              <w:rPr>
                <w:lang w:val="en-US"/>
              </w:rPr>
              <w:t xml:space="preserve">ame </w:t>
            </w:r>
          </w:p>
        </w:tc>
        <w:tc>
          <w:tcPr>
            <w:tcW w:w="6447" w:type="dxa"/>
            <w:gridSpan w:val="8"/>
          </w:tcPr>
          <w:p w14:paraId="2713FE87" w14:textId="716F6190" w:rsidR="006847E2" w:rsidRPr="004F7C70" w:rsidRDefault="00AA1ED7" w:rsidP="00362AB0">
            <w:pPr>
              <w:rPr>
                <w:lang w:val="en-US"/>
              </w:rPr>
            </w:pPr>
            <w:r w:rsidRPr="00AA1ED7">
              <w:rPr>
                <w:lang w:val="en-US"/>
              </w:rPr>
              <w:t>Beáta</w:t>
            </w:r>
            <w:r>
              <w:rPr>
                <w:lang w:val="en-US"/>
              </w:rPr>
              <w:t xml:space="preserve"> </w:t>
            </w:r>
            <w:r w:rsidR="00F81859" w:rsidRPr="00F81859">
              <w:rPr>
                <w:lang w:val="en-US"/>
              </w:rPr>
              <w:t>Vondálová</w:t>
            </w:r>
          </w:p>
        </w:tc>
      </w:tr>
      <w:tr w:rsidR="006847E2" w:rsidRPr="004F7C70" w14:paraId="7D26CF81" w14:textId="77777777" w:rsidTr="00145335">
        <w:tc>
          <w:tcPr>
            <w:tcW w:w="3723" w:type="dxa"/>
          </w:tcPr>
          <w:p w14:paraId="4EB48C31" w14:textId="77777777" w:rsidR="006847E2" w:rsidRPr="004F7C70" w:rsidRDefault="00146DE3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Thesis </w:t>
            </w:r>
            <w:r w:rsidR="009875B9" w:rsidRPr="004F7C70">
              <w:rPr>
                <w:lang w:val="en-US"/>
              </w:rPr>
              <w:t>title</w:t>
            </w:r>
          </w:p>
        </w:tc>
        <w:tc>
          <w:tcPr>
            <w:tcW w:w="6447" w:type="dxa"/>
            <w:gridSpan w:val="8"/>
          </w:tcPr>
          <w:p w14:paraId="7F73162E" w14:textId="1CE1D0D6" w:rsidR="006847E2" w:rsidRPr="004F7C70" w:rsidRDefault="00AA1ED7" w:rsidP="00362AB0">
            <w:pPr>
              <w:rPr>
                <w:lang w:val="en-US"/>
              </w:rPr>
            </w:pPr>
            <w:r w:rsidRPr="00AA1ED7">
              <w:rPr>
                <w:lang w:val="en-US"/>
              </w:rPr>
              <w:t>Marital Infidelity in Kate Chopin's The Awakening and Willa Cather's A Lost Lady</w:t>
            </w:r>
          </w:p>
        </w:tc>
      </w:tr>
      <w:tr w:rsidR="006847E2" w:rsidRPr="004F7C70" w14:paraId="51E23586" w14:textId="77777777" w:rsidTr="00145335">
        <w:tc>
          <w:tcPr>
            <w:tcW w:w="3723" w:type="dxa"/>
          </w:tcPr>
          <w:p w14:paraId="54F37E2D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Supervisor</w:t>
            </w:r>
            <w:r w:rsidR="00967103" w:rsidRPr="004F7C70">
              <w:rPr>
                <w:lang w:val="en-US"/>
              </w:rPr>
              <w:t>’s</w:t>
            </w:r>
            <w:r w:rsidR="009875B9" w:rsidRPr="004F7C70">
              <w:rPr>
                <w:lang w:val="en-US"/>
              </w:rPr>
              <w:t xml:space="preserve"> name</w:t>
            </w:r>
          </w:p>
        </w:tc>
        <w:tc>
          <w:tcPr>
            <w:tcW w:w="6447" w:type="dxa"/>
            <w:gridSpan w:val="8"/>
          </w:tcPr>
          <w:p w14:paraId="1C3C56FF" w14:textId="250DBEF3" w:rsidR="006847E2" w:rsidRPr="004F7C70" w:rsidRDefault="00CD71FB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Daniel Sampey, MFA</w:t>
            </w:r>
          </w:p>
        </w:tc>
      </w:tr>
      <w:tr w:rsidR="006847E2" w:rsidRPr="004F7C70" w14:paraId="5931C076" w14:textId="77777777" w:rsidTr="00145335">
        <w:tc>
          <w:tcPr>
            <w:tcW w:w="3723" w:type="dxa"/>
          </w:tcPr>
          <w:p w14:paraId="6E2C3B0E" w14:textId="77777777" w:rsidR="006847E2" w:rsidRPr="004F7C70" w:rsidRDefault="009875B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Degree course</w:t>
            </w:r>
          </w:p>
        </w:tc>
        <w:tc>
          <w:tcPr>
            <w:tcW w:w="6447" w:type="dxa"/>
            <w:gridSpan w:val="8"/>
          </w:tcPr>
          <w:p w14:paraId="31E27F13" w14:textId="77777777" w:rsidR="006847E2" w:rsidRPr="004F7C70" w:rsidRDefault="00CD4F8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English for Business Administration</w:t>
            </w:r>
          </w:p>
        </w:tc>
      </w:tr>
      <w:tr w:rsidR="006847E2" w:rsidRPr="004F7C70" w14:paraId="6E13DEB9" w14:textId="77777777" w:rsidTr="00145335">
        <w:tc>
          <w:tcPr>
            <w:tcW w:w="3723" w:type="dxa"/>
          </w:tcPr>
          <w:p w14:paraId="64B1506C" w14:textId="77777777" w:rsidR="006847E2" w:rsidRPr="004F7C70" w:rsidRDefault="009875B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Mode</w:t>
            </w:r>
            <w:r w:rsidR="005B053C" w:rsidRPr="004F7C70">
              <w:rPr>
                <w:lang w:val="en-US"/>
              </w:rPr>
              <w:t xml:space="preserve"> of </w:t>
            </w:r>
            <w:r w:rsidR="00836F0C" w:rsidRPr="004F7C70">
              <w:rPr>
                <w:lang w:val="en-US"/>
              </w:rPr>
              <w:t>s</w:t>
            </w:r>
            <w:r w:rsidR="005B053C" w:rsidRPr="004F7C70">
              <w:rPr>
                <w:lang w:val="en-US"/>
              </w:rPr>
              <w:t>tudy</w:t>
            </w:r>
          </w:p>
        </w:tc>
        <w:tc>
          <w:tcPr>
            <w:tcW w:w="6447" w:type="dxa"/>
            <w:gridSpan w:val="8"/>
          </w:tcPr>
          <w:p w14:paraId="01672C1C" w14:textId="77777777" w:rsidR="006847E2" w:rsidRPr="004F7C70" w:rsidRDefault="00CD4F8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Full-time</w:t>
            </w:r>
          </w:p>
        </w:tc>
      </w:tr>
      <w:tr w:rsidR="006847E2" w:rsidRPr="004F7C70" w14:paraId="49C9A7E3" w14:textId="77777777" w:rsidTr="00145335">
        <w:tc>
          <w:tcPr>
            <w:tcW w:w="3723" w:type="dxa"/>
            <w:vAlign w:val="center"/>
          </w:tcPr>
          <w:p w14:paraId="0B545406" w14:textId="77777777" w:rsidR="006847E2" w:rsidRPr="004F7C70" w:rsidRDefault="009875B9" w:rsidP="00362AB0">
            <w:pPr>
              <w:rPr>
                <w:b/>
                <w:lang w:val="en-US"/>
              </w:rPr>
            </w:pPr>
            <w:r w:rsidRPr="004F7C70">
              <w:rPr>
                <w:b/>
                <w:lang w:val="en-US"/>
              </w:rPr>
              <w:t>Thesis</w:t>
            </w:r>
            <w:r w:rsidR="00073326" w:rsidRPr="004F7C70">
              <w:rPr>
                <w:b/>
                <w:lang w:val="en-US"/>
              </w:rPr>
              <w:t xml:space="preserve"> </w:t>
            </w:r>
            <w:r w:rsidR="00836F0C" w:rsidRPr="004F7C70">
              <w:rPr>
                <w:b/>
                <w:lang w:val="en-US"/>
              </w:rPr>
              <w:t>e</w:t>
            </w:r>
            <w:r w:rsidR="00073326" w:rsidRPr="004F7C70">
              <w:rPr>
                <w:b/>
                <w:lang w:val="en-US"/>
              </w:rPr>
              <w:t xml:space="preserve">valuation </w:t>
            </w:r>
            <w:r w:rsidR="00836F0C" w:rsidRPr="004F7C70">
              <w:rPr>
                <w:b/>
                <w:lang w:val="en-US"/>
              </w:rPr>
              <w:t>c</w:t>
            </w:r>
            <w:r w:rsidR="00073326" w:rsidRPr="004F7C70">
              <w:rPr>
                <w:b/>
                <w:lang w:val="en-US"/>
              </w:rPr>
              <w:t>riteria</w:t>
            </w:r>
          </w:p>
        </w:tc>
        <w:tc>
          <w:tcPr>
            <w:tcW w:w="6447" w:type="dxa"/>
            <w:gridSpan w:val="8"/>
          </w:tcPr>
          <w:p w14:paraId="3D283017" w14:textId="77777777" w:rsidR="006847E2" w:rsidRPr="004F7C70" w:rsidRDefault="00073326" w:rsidP="00AD2438">
            <w:pPr>
              <w:jc w:val="right"/>
              <w:rPr>
                <w:lang w:val="en-US"/>
              </w:rPr>
            </w:pPr>
            <w:r w:rsidRPr="004F7C70">
              <w:rPr>
                <w:b/>
                <w:lang w:val="en-US"/>
              </w:rPr>
              <w:t xml:space="preserve">Classification grade according to </w:t>
            </w:r>
            <w:r w:rsidR="006847E2" w:rsidRPr="004F7C70">
              <w:rPr>
                <w:b/>
                <w:lang w:val="en-US"/>
              </w:rPr>
              <w:t>ECTS</w:t>
            </w:r>
            <w:r w:rsidRPr="004F7C70">
              <w:rPr>
                <w:b/>
                <w:lang w:val="en-US"/>
              </w:rPr>
              <w:t xml:space="preserve"> </w:t>
            </w:r>
          </w:p>
        </w:tc>
      </w:tr>
      <w:tr w:rsidR="006847E2" w:rsidRPr="004F7C70" w14:paraId="5BEE21C3" w14:textId="77777777" w:rsidTr="00145335">
        <w:tc>
          <w:tcPr>
            <w:tcW w:w="10170" w:type="dxa"/>
            <w:gridSpan w:val="9"/>
            <w:shd w:val="clear" w:color="auto" w:fill="A6A6A6"/>
          </w:tcPr>
          <w:p w14:paraId="583A9EE2" w14:textId="77777777" w:rsidR="006847E2" w:rsidRPr="004F7C70" w:rsidRDefault="00401253" w:rsidP="00362AB0">
            <w:pPr>
              <w:rPr>
                <w:color w:val="FFFFFF"/>
                <w:lang w:val="en-US"/>
              </w:rPr>
            </w:pPr>
            <w:r w:rsidRPr="004F7C70">
              <w:rPr>
                <w:b/>
                <w:color w:val="FFFFFF"/>
                <w:lang w:val="en-US"/>
              </w:rPr>
              <w:t>Structure</w:t>
            </w:r>
          </w:p>
        </w:tc>
      </w:tr>
      <w:tr w:rsidR="006847E2" w:rsidRPr="004F7C70" w14:paraId="1A59B8AF" w14:textId="77777777" w:rsidTr="00145335">
        <w:tc>
          <w:tcPr>
            <w:tcW w:w="7166" w:type="dxa"/>
            <w:gridSpan w:val="3"/>
          </w:tcPr>
          <w:p w14:paraId="599211A0" w14:textId="77777777" w:rsidR="006847E2" w:rsidRPr="004F7C70" w:rsidRDefault="00836F0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Outline and division</w:t>
            </w:r>
          </w:p>
        </w:tc>
        <w:tc>
          <w:tcPr>
            <w:tcW w:w="507" w:type="dxa"/>
          </w:tcPr>
          <w:p w14:paraId="53BB1485" w14:textId="3924F65A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B0F13A6" w14:textId="1EC6512D" w:rsidR="006847E2" w:rsidRPr="004F7C70" w:rsidRDefault="00BB73C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C719F46" w14:textId="1FA3817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4DF7FD59" w14:textId="5961FFE9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3DBF0CA9" w14:textId="064D2A72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</w:tcPr>
          <w:p w14:paraId="65557440" w14:textId="692A4D6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77796D" w14:textId="77777777" w:rsidTr="00145335">
        <w:tc>
          <w:tcPr>
            <w:tcW w:w="7166" w:type="dxa"/>
            <w:gridSpan w:val="3"/>
          </w:tcPr>
          <w:p w14:paraId="7F0EC798" w14:textId="218FEB47" w:rsidR="006847E2" w:rsidRPr="004F7C70" w:rsidRDefault="00836F0C" w:rsidP="009603D6">
            <w:pPr>
              <w:rPr>
                <w:lang w:val="en-US"/>
              </w:rPr>
            </w:pPr>
            <w:r w:rsidRPr="004F7C70">
              <w:rPr>
                <w:lang w:val="en-US"/>
              </w:rPr>
              <w:t>Language level</w:t>
            </w:r>
            <w:r w:rsidR="009603D6">
              <w:rPr>
                <w:lang w:val="en-US"/>
              </w:rPr>
              <w:t xml:space="preserve"> </w:t>
            </w:r>
            <w:r w:rsidR="009603D6" w:rsidRPr="009603D6">
              <w:rPr>
                <w:sz w:val="20"/>
                <w:szCs w:val="20"/>
                <w:lang w:val="en-US"/>
              </w:rPr>
              <w:t>(</w:t>
            </w:r>
            <w:r w:rsidR="009603D6">
              <w:rPr>
                <w:sz w:val="20"/>
                <w:szCs w:val="20"/>
                <w:lang w:val="en-US"/>
              </w:rPr>
              <w:t xml:space="preserve">e.g. </w:t>
            </w:r>
            <w:r w:rsidR="009603D6" w:rsidRPr="009603D6">
              <w:rPr>
                <w:sz w:val="20"/>
                <w:szCs w:val="20"/>
                <w:lang w:val="en-US"/>
              </w:rPr>
              <w:t>Czech punctuation used too often)</w:t>
            </w:r>
          </w:p>
        </w:tc>
        <w:tc>
          <w:tcPr>
            <w:tcW w:w="507" w:type="dxa"/>
          </w:tcPr>
          <w:p w14:paraId="750C10FF" w14:textId="7A452C3E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AF4ED5C" w14:textId="2CF2D0E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5142E3D3" w14:textId="0D4BEF59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0E2AE3CE" w14:textId="6496EE96" w:rsidR="006847E2" w:rsidRPr="004F7C70" w:rsidRDefault="00D7760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1E721A9F" w14:textId="17635DD3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472" w:type="dxa"/>
          </w:tcPr>
          <w:p w14:paraId="1A7415DD" w14:textId="61F5379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906020" w14:textId="77777777" w:rsidTr="00145335">
        <w:tc>
          <w:tcPr>
            <w:tcW w:w="7166" w:type="dxa"/>
            <w:gridSpan w:val="3"/>
          </w:tcPr>
          <w:p w14:paraId="6C7A4900" w14:textId="5451FFB6" w:rsidR="006847E2" w:rsidRPr="004F7C70" w:rsidRDefault="00836F0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Formatting</w:t>
            </w:r>
            <w:r w:rsidR="009875B9" w:rsidRPr="004F7C70">
              <w:rPr>
                <w:lang w:val="en-US"/>
              </w:rPr>
              <w:t xml:space="preserve"> (citations, </w:t>
            </w:r>
            <w:r w:rsidR="00382E0D" w:rsidRPr="004F7C70">
              <w:rPr>
                <w:lang w:val="en-US"/>
              </w:rPr>
              <w:t>presentation</w:t>
            </w:r>
            <w:r w:rsidR="009875B9" w:rsidRPr="004F7C70">
              <w:rPr>
                <w:lang w:val="en-US"/>
              </w:rPr>
              <w:t>)</w:t>
            </w:r>
            <w:r w:rsidR="009603D6">
              <w:rPr>
                <w:lang w:val="en-US"/>
              </w:rPr>
              <w:t xml:space="preserve"> </w:t>
            </w:r>
          </w:p>
        </w:tc>
        <w:tc>
          <w:tcPr>
            <w:tcW w:w="507" w:type="dxa"/>
          </w:tcPr>
          <w:p w14:paraId="2A4F6F53" w14:textId="28734F06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46E9367" w14:textId="3785B039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1199E7F" w14:textId="0A53A1D5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2EE2644D" w14:textId="303C09E0" w:rsidR="006847E2" w:rsidRPr="004F7C70" w:rsidRDefault="009603D6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E2EA29B" w14:textId="2F3FD7F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</w:tcPr>
          <w:p w14:paraId="1E20FCD6" w14:textId="09E848DC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3E9EFA29" w14:textId="77777777" w:rsidTr="00145335">
        <w:tc>
          <w:tcPr>
            <w:tcW w:w="10170" w:type="dxa"/>
            <w:gridSpan w:val="9"/>
            <w:shd w:val="clear" w:color="auto" w:fill="A6A6A6"/>
          </w:tcPr>
          <w:p w14:paraId="27C4A948" w14:textId="16E8E95A" w:rsidR="006847E2" w:rsidRPr="004F7C70" w:rsidRDefault="006847E2" w:rsidP="00362AB0">
            <w:pPr>
              <w:rPr>
                <w:lang w:val="en-US"/>
              </w:rPr>
            </w:pPr>
          </w:p>
        </w:tc>
      </w:tr>
      <w:tr w:rsidR="006847E2" w:rsidRPr="004F7C70" w14:paraId="71DA1BBB" w14:textId="77777777" w:rsidTr="00145335">
        <w:tc>
          <w:tcPr>
            <w:tcW w:w="7166" w:type="dxa"/>
            <w:gridSpan w:val="3"/>
          </w:tcPr>
          <w:p w14:paraId="73EFC9EA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4F95F0F5" w:rsidR="006847E2" w:rsidRPr="004F7C70" w:rsidRDefault="00585DD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F769883" w14:textId="4649CC8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23C58CB1" w14:textId="2591407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6CB3377E" w14:textId="6DD528F5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3264CAC5" w14:textId="0BE5114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</w:tcPr>
          <w:p w14:paraId="5FC3B3EB" w14:textId="004CCF42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58A7F09" w14:textId="77777777" w:rsidTr="00145335">
        <w:tc>
          <w:tcPr>
            <w:tcW w:w="7166" w:type="dxa"/>
            <w:gridSpan w:val="3"/>
          </w:tcPr>
          <w:p w14:paraId="5766BB36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6EC67C2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09E17E0F" w14:textId="5A5AF71A" w:rsidR="006847E2" w:rsidRPr="004F7C70" w:rsidRDefault="00585DD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2AADC105" w14:textId="00B693D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66D29FCD" w14:textId="3B7488F3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06" w:type="dxa"/>
          </w:tcPr>
          <w:p w14:paraId="39496426" w14:textId="00353F3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</w:tcPr>
          <w:p w14:paraId="4F93D621" w14:textId="289518FA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1712902D" w14:textId="77777777" w:rsidTr="00145335">
        <w:tc>
          <w:tcPr>
            <w:tcW w:w="7166" w:type="dxa"/>
            <w:gridSpan w:val="3"/>
          </w:tcPr>
          <w:p w14:paraId="5D386E4F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452CF569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vAlign w:val="center"/>
          </w:tcPr>
          <w:p w14:paraId="0C642F4A" w14:textId="2736AA46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vAlign w:val="center"/>
          </w:tcPr>
          <w:p w14:paraId="7A76CF6B" w14:textId="4B6CC7B8" w:rsidR="006847E2" w:rsidRPr="004F7C70" w:rsidRDefault="002603CD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3B003C26" w14:textId="4AADBD3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vAlign w:val="center"/>
          </w:tcPr>
          <w:p w14:paraId="13105673" w14:textId="7AEBFF4A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472" w:type="dxa"/>
            <w:vAlign w:val="center"/>
          </w:tcPr>
          <w:p w14:paraId="74D128AE" w14:textId="1DB7B4E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065AF96A" w14:textId="77777777" w:rsidTr="00145335">
        <w:tc>
          <w:tcPr>
            <w:tcW w:w="7166" w:type="dxa"/>
            <w:gridSpan w:val="3"/>
          </w:tcPr>
          <w:p w14:paraId="3E31D6A7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Level of</w:t>
            </w:r>
            <w:r w:rsidR="00836F0C" w:rsidRPr="004F7C70">
              <w:rPr>
                <w:lang w:val="en-US"/>
              </w:rPr>
              <w:t xml:space="preserve"> analy</w:t>
            </w:r>
            <w:r w:rsidRPr="004F7C70">
              <w:rPr>
                <w:lang w:val="en-US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5A67565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2E28025" w14:textId="2941BFC9" w:rsidR="006847E2" w:rsidRPr="004F7C70" w:rsidRDefault="009603D6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265AF518" w14:textId="4D37DDD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0A79518B" w14:textId="0D3534D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B3A0155" w14:textId="7577BA5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</w:tcPr>
          <w:p w14:paraId="2B5210CB" w14:textId="2BA2BB1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AA666C" w14:textId="77777777" w:rsidTr="00145335">
        <w:tc>
          <w:tcPr>
            <w:tcW w:w="7166" w:type="dxa"/>
            <w:gridSpan w:val="3"/>
          </w:tcPr>
          <w:p w14:paraId="6B1F1DCA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Formulation of</w:t>
            </w:r>
            <w:r w:rsidR="00836F0C" w:rsidRPr="004F7C70">
              <w:rPr>
                <w:lang w:val="en-US"/>
              </w:rPr>
              <w:t xml:space="preserve"> conclusions</w:t>
            </w:r>
            <w:r w:rsidRPr="004F7C70">
              <w:rPr>
                <w:lang w:val="en-US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14967CB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195E0B5E" w14:textId="4967222A" w:rsidR="006847E2" w:rsidRPr="004F7C70" w:rsidRDefault="009603D6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7E6D549" w14:textId="4AEF35BF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7D913DF0" w14:textId="42BF962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8021A05" w14:textId="6E97706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</w:tcPr>
          <w:p w14:paraId="13AD1925" w14:textId="1CEF13D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1ED247DF" w14:textId="77777777" w:rsidTr="00145335">
        <w:tc>
          <w:tcPr>
            <w:tcW w:w="7166" w:type="dxa"/>
            <w:gridSpan w:val="3"/>
          </w:tcPr>
          <w:p w14:paraId="0E28301A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Originality and v</w:t>
            </w:r>
            <w:r w:rsidR="00967103" w:rsidRPr="004F7C70">
              <w:rPr>
                <w:lang w:val="en-US"/>
              </w:rPr>
              <w:t xml:space="preserve">ocational </w:t>
            </w:r>
            <w:r w:rsidRPr="004F7C70">
              <w:rPr>
                <w:lang w:val="en-US"/>
              </w:rPr>
              <w:t>contribution</w:t>
            </w:r>
          </w:p>
        </w:tc>
        <w:tc>
          <w:tcPr>
            <w:tcW w:w="507" w:type="dxa"/>
          </w:tcPr>
          <w:p w14:paraId="36CA1A75" w14:textId="60AC601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0265B926" w14:textId="0024E49C" w:rsidR="006847E2" w:rsidRPr="001C4CAB" w:rsidRDefault="006847E2" w:rsidP="00AD243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506" w:type="dxa"/>
          </w:tcPr>
          <w:p w14:paraId="137C9497" w14:textId="68CF9F73" w:rsidR="006847E2" w:rsidRPr="004F7C70" w:rsidRDefault="00585DD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2D5D17A9" w14:textId="211E507C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7617EB7" w14:textId="614DDE8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</w:tcPr>
          <w:p w14:paraId="224727E5" w14:textId="4FEE506E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F1F4A6F" w14:textId="77777777" w:rsidTr="00145335">
        <w:tc>
          <w:tcPr>
            <w:tcW w:w="10170" w:type="dxa"/>
            <w:gridSpan w:val="9"/>
          </w:tcPr>
          <w:p w14:paraId="62FEB381" w14:textId="3205FA84" w:rsidR="00877830" w:rsidRPr="004F7C70" w:rsidRDefault="00C11E00" w:rsidP="00877830">
            <w:pPr>
              <w:jc w:val="both"/>
              <w:rPr>
                <w:sz w:val="12"/>
                <w:szCs w:val="12"/>
                <w:lang w:val="en-US"/>
              </w:rPr>
            </w:pPr>
            <w:r w:rsidRPr="004F7C70">
              <w:rPr>
                <w:b/>
                <w:lang w:val="en-US"/>
              </w:rPr>
              <w:t>Evaluation justification</w:t>
            </w:r>
            <w:r w:rsidR="001C1CA8" w:rsidRPr="004F7C70">
              <w:rPr>
                <w:b/>
                <w:lang w:val="en-US"/>
              </w:rPr>
              <w:t xml:space="preserve"> (</w:t>
            </w:r>
            <w:r w:rsidR="00382E0D" w:rsidRPr="004F7C70">
              <w:rPr>
                <w:b/>
                <w:lang w:val="en-US"/>
              </w:rPr>
              <w:t>strengths</w:t>
            </w:r>
            <w:r w:rsidRPr="004F7C70">
              <w:rPr>
                <w:b/>
                <w:lang w:val="en-US"/>
              </w:rPr>
              <w:t xml:space="preserve"> and weaknesses</w:t>
            </w:r>
            <w:r w:rsidR="001C1CA8" w:rsidRPr="004F7C70">
              <w:rPr>
                <w:b/>
                <w:lang w:val="en-US"/>
              </w:rPr>
              <w:t xml:space="preserve"> of thesis):</w:t>
            </w:r>
          </w:p>
          <w:p w14:paraId="572B7B97" w14:textId="74727603" w:rsidR="009603D6" w:rsidRDefault="004F7C70" w:rsidP="00877830">
            <w:pPr>
              <w:jc w:val="both"/>
              <w:rPr>
                <w:lang w:val="en-US"/>
              </w:rPr>
            </w:pPr>
            <w:r w:rsidRPr="004F7C70">
              <w:rPr>
                <w:lang w:val="en-US"/>
              </w:rPr>
              <w:t xml:space="preserve">This thesis is </w:t>
            </w:r>
            <w:r w:rsidR="009603D6">
              <w:rPr>
                <w:lang w:val="en-US"/>
              </w:rPr>
              <w:t>quite</w:t>
            </w:r>
            <w:r w:rsidR="00F31B34">
              <w:rPr>
                <w:lang w:val="en-US"/>
              </w:rPr>
              <w:t xml:space="preserve"> </w:t>
            </w:r>
            <w:r w:rsidRPr="004F7C70">
              <w:rPr>
                <w:lang w:val="en-US"/>
              </w:rPr>
              <w:t xml:space="preserve">successful </w:t>
            </w:r>
            <w:r w:rsidR="007733B1">
              <w:rPr>
                <w:lang w:val="en-US"/>
              </w:rPr>
              <w:t>in achieving its goals, which are clearly related more to the cultural context of the periods described than to literary analysis</w:t>
            </w:r>
            <w:r w:rsidR="00E11F41">
              <w:rPr>
                <w:lang w:val="en-US"/>
              </w:rPr>
              <w:t xml:space="preserve"> (</w:t>
            </w:r>
            <w:r w:rsidR="00BF5E09">
              <w:rPr>
                <w:lang w:val="en-US"/>
              </w:rPr>
              <w:t>with some exceptions, e.g.</w:t>
            </w:r>
            <w:r w:rsidR="00E11F41">
              <w:rPr>
                <w:lang w:val="en-US"/>
              </w:rPr>
              <w:t xml:space="preserve"> brief mentions of </w:t>
            </w:r>
            <w:r w:rsidR="00E11F41" w:rsidRPr="00BF5E09">
              <w:rPr>
                <w:i/>
                <w:lang w:val="en-US"/>
              </w:rPr>
              <w:t>Madame Bovary</w:t>
            </w:r>
            <w:r w:rsidR="00E11F41">
              <w:rPr>
                <w:lang w:val="en-US"/>
              </w:rPr>
              <w:t xml:space="preserve"> and the context of Local Color literature)</w:t>
            </w:r>
            <w:r w:rsidR="007733B1">
              <w:rPr>
                <w:lang w:val="en-US"/>
              </w:rPr>
              <w:t>.</w:t>
            </w:r>
            <w:r w:rsidR="002603CD">
              <w:rPr>
                <w:lang w:val="en-US"/>
              </w:rPr>
              <w:t xml:space="preserve"> Using standard and foundational sources</w:t>
            </w:r>
            <w:r w:rsidR="00BC656A">
              <w:rPr>
                <w:lang w:val="en-US"/>
              </w:rPr>
              <w:t>,</w:t>
            </w:r>
            <w:r w:rsidR="002603CD">
              <w:rPr>
                <w:lang w:val="en-US"/>
              </w:rPr>
              <w:t xml:space="preserve"> a clear dichotomy of the “true woman” vs the “new woman” is set up in the background </w:t>
            </w:r>
            <w:r w:rsidR="009A12FA">
              <w:rPr>
                <w:lang w:val="en-US"/>
              </w:rPr>
              <w:t>section which</w:t>
            </w:r>
            <w:r w:rsidR="0043368A">
              <w:rPr>
                <w:lang w:val="en-US"/>
              </w:rPr>
              <w:t xml:space="preserve"> is used quite </w:t>
            </w:r>
            <w:r w:rsidR="00065929">
              <w:rPr>
                <w:lang w:val="en-US"/>
              </w:rPr>
              <w:t xml:space="preserve">productively and </w:t>
            </w:r>
            <w:r w:rsidR="0043368A">
              <w:rPr>
                <w:lang w:val="en-US"/>
              </w:rPr>
              <w:t>extensively as one of the main themes of the analysis of the even</w:t>
            </w:r>
            <w:r w:rsidR="009A12FA">
              <w:rPr>
                <w:lang w:val="en-US"/>
              </w:rPr>
              <w:t xml:space="preserve">ts and characters </w:t>
            </w:r>
            <w:r w:rsidR="00B467FA">
              <w:rPr>
                <w:lang w:val="en-US"/>
              </w:rPr>
              <w:t>of</w:t>
            </w:r>
            <w:r w:rsidR="009A12FA">
              <w:rPr>
                <w:lang w:val="en-US"/>
              </w:rPr>
              <w:t xml:space="preserve"> the novels. </w:t>
            </w:r>
          </w:p>
          <w:p w14:paraId="6E5660F9" w14:textId="02D330E3" w:rsidR="009A12FA" w:rsidRPr="007018B8" w:rsidRDefault="009A12FA" w:rsidP="0087783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B0734D3" w14:textId="1A06DA52" w:rsidR="009A12FA" w:rsidRDefault="009A12FA" w:rsidP="00877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C800F2">
              <w:rPr>
                <w:lang w:val="en-US"/>
              </w:rPr>
              <w:t xml:space="preserve">analysis provided in chapter 3 is generally specific and insightful, </w:t>
            </w:r>
            <w:r w:rsidR="002E0AB5">
              <w:rPr>
                <w:lang w:val="en-US"/>
              </w:rPr>
              <w:t xml:space="preserve">with cohesion with the background chapters achieved </w:t>
            </w:r>
            <w:r w:rsidR="00104CC4">
              <w:rPr>
                <w:lang w:val="en-US"/>
              </w:rPr>
              <w:t xml:space="preserve">somewhat </w:t>
            </w:r>
            <w:r w:rsidR="002E0AB5">
              <w:rPr>
                <w:lang w:val="en-US"/>
              </w:rPr>
              <w:t xml:space="preserve">by </w:t>
            </w:r>
            <w:r w:rsidR="00C800F2">
              <w:rPr>
                <w:lang w:val="en-US"/>
              </w:rPr>
              <w:t xml:space="preserve">direct references to the authors and sources described in the earlier </w:t>
            </w:r>
            <w:r w:rsidR="00104CC4">
              <w:rPr>
                <w:lang w:val="en-US"/>
              </w:rPr>
              <w:t>section</w:t>
            </w:r>
            <w:r w:rsidR="00C800F2">
              <w:rPr>
                <w:lang w:val="en-US"/>
              </w:rPr>
              <w:t xml:space="preserve">, e.g. </w:t>
            </w:r>
            <w:proofErr w:type="spellStart"/>
            <w:r w:rsidR="00C800F2">
              <w:rPr>
                <w:lang w:val="en-US"/>
              </w:rPr>
              <w:t>Elz</w:t>
            </w:r>
            <w:proofErr w:type="spellEnd"/>
            <w:r w:rsidR="002E0AB5">
              <w:rPr>
                <w:lang w:val="en-US"/>
              </w:rPr>
              <w:t>,</w:t>
            </w:r>
            <w:r w:rsidR="00C800F2">
              <w:rPr>
                <w:lang w:val="en-US"/>
              </w:rPr>
              <w:t xml:space="preserve"> </w:t>
            </w:r>
            <w:proofErr w:type="spellStart"/>
            <w:r w:rsidR="00C800F2">
              <w:rPr>
                <w:lang w:val="en-US"/>
              </w:rPr>
              <w:t>Seyersted</w:t>
            </w:r>
            <w:proofErr w:type="spellEnd"/>
            <w:r w:rsidR="00C800F2">
              <w:rPr>
                <w:lang w:val="en-US"/>
              </w:rPr>
              <w:t xml:space="preserve"> </w:t>
            </w:r>
            <w:r w:rsidR="002E0AB5">
              <w:rPr>
                <w:lang w:val="en-US"/>
              </w:rPr>
              <w:t>and Morrow</w:t>
            </w:r>
            <w:r w:rsidR="00C800F2">
              <w:rPr>
                <w:lang w:val="en-US"/>
              </w:rPr>
              <w:t xml:space="preserve">. </w:t>
            </w:r>
          </w:p>
          <w:p w14:paraId="5CDD83F6" w14:textId="391C61B0" w:rsidR="002E0AB5" w:rsidRPr="007018B8" w:rsidRDefault="002E0AB5" w:rsidP="0087783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10DC774E" w14:textId="1854E135" w:rsidR="002E0AB5" w:rsidRDefault="002E0AB5" w:rsidP="00877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Since the thesis deals </w:t>
            </w:r>
            <w:r w:rsidR="00E11F41">
              <w:rPr>
                <w:lang w:val="en-US"/>
              </w:rPr>
              <w:t xml:space="preserve">mainly </w:t>
            </w:r>
            <w:r>
              <w:rPr>
                <w:lang w:val="en-US"/>
              </w:rPr>
              <w:t>with culture, t</w:t>
            </w:r>
            <w:r w:rsidR="00286D6E">
              <w:rPr>
                <w:lang w:val="en-US"/>
              </w:rPr>
              <w:t>w</w:t>
            </w:r>
            <w:r>
              <w:rPr>
                <w:lang w:val="en-US"/>
              </w:rPr>
              <w:t xml:space="preserve">o </w:t>
            </w:r>
            <w:r w:rsidR="00E11F41">
              <w:rPr>
                <w:lang w:val="en-US"/>
              </w:rPr>
              <w:t xml:space="preserve">radical </w:t>
            </w:r>
            <w:r w:rsidR="00286D6E">
              <w:rPr>
                <w:lang w:val="en-US"/>
              </w:rPr>
              <w:t xml:space="preserve">decisions made by Edna </w:t>
            </w:r>
            <w:r>
              <w:rPr>
                <w:lang w:val="en-US"/>
              </w:rPr>
              <w:t xml:space="preserve">in </w:t>
            </w:r>
            <w:r w:rsidRPr="002E0AB5">
              <w:rPr>
                <w:i/>
                <w:lang w:val="en-US"/>
              </w:rPr>
              <w:t>The Awakening</w:t>
            </w:r>
            <w:r>
              <w:rPr>
                <w:lang w:val="en-US"/>
              </w:rPr>
              <w:t xml:space="preserve"> could have been </w:t>
            </w:r>
            <w:r w:rsidR="00286D6E">
              <w:rPr>
                <w:lang w:val="en-US"/>
              </w:rPr>
              <w:t xml:space="preserve">emphasized a bit more: Edna leaving her six children to try to make a life </w:t>
            </w:r>
            <w:r w:rsidR="00B467FA">
              <w:rPr>
                <w:lang w:val="en-US"/>
              </w:rPr>
              <w:t>of / on</w:t>
            </w:r>
            <w:r w:rsidR="00286D6E">
              <w:rPr>
                <w:lang w:val="en-US"/>
              </w:rPr>
              <w:t xml:space="preserve"> her own</w:t>
            </w:r>
            <w:r w:rsidR="000B774C">
              <w:rPr>
                <w:lang w:val="en-US"/>
              </w:rPr>
              <w:t>,</w:t>
            </w:r>
            <w:r w:rsidR="00286D6E">
              <w:rPr>
                <w:lang w:val="en-US"/>
              </w:rPr>
              <w:t xml:space="preserve"> and her final </w:t>
            </w:r>
            <w:r w:rsidR="000B774C">
              <w:rPr>
                <w:lang w:val="en-US"/>
              </w:rPr>
              <w:t>choice</w:t>
            </w:r>
            <w:r w:rsidR="00286D6E">
              <w:rPr>
                <w:lang w:val="en-US"/>
              </w:rPr>
              <w:t xml:space="preserve"> to drown herself in the Gulf of Mexico. </w:t>
            </w:r>
            <w:r w:rsidR="00E11F41">
              <w:rPr>
                <w:lang w:val="en-US"/>
              </w:rPr>
              <w:t>S</w:t>
            </w:r>
            <w:r w:rsidR="000B774C">
              <w:rPr>
                <w:lang w:val="en-US"/>
              </w:rPr>
              <w:t>uch content in US literature of the late 19</w:t>
            </w:r>
            <w:r w:rsidR="000B774C" w:rsidRPr="000B774C">
              <w:rPr>
                <w:vertAlign w:val="superscript"/>
                <w:lang w:val="en-US"/>
              </w:rPr>
              <w:t>th</w:t>
            </w:r>
            <w:r w:rsidR="000B774C">
              <w:rPr>
                <w:lang w:val="en-US"/>
              </w:rPr>
              <w:t xml:space="preserve"> century </w:t>
            </w:r>
            <w:r w:rsidR="00E11F41">
              <w:rPr>
                <w:lang w:val="en-US"/>
              </w:rPr>
              <w:t>was shocking</w:t>
            </w:r>
            <w:r w:rsidR="000B774C">
              <w:rPr>
                <w:lang w:val="en-US"/>
              </w:rPr>
              <w:t xml:space="preserve">, </w:t>
            </w:r>
            <w:r w:rsidR="00E11F41">
              <w:rPr>
                <w:lang w:val="en-US"/>
              </w:rPr>
              <w:t>an effect which was reflected in</w:t>
            </w:r>
            <w:r w:rsidR="00E627A8">
              <w:rPr>
                <w:lang w:val="en-US"/>
              </w:rPr>
              <w:t xml:space="preserve"> real-world results, i.e. </w:t>
            </w:r>
            <w:r w:rsidR="007018B8">
              <w:rPr>
                <w:lang w:val="en-US"/>
              </w:rPr>
              <w:t>the divergent trajectories of the literary</w:t>
            </w:r>
            <w:r w:rsidR="004C369B">
              <w:rPr>
                <w:lang w:val="en-US"/>
              </w:rPr>
              <w:t xml:space="preserve"> careers of the two women, </w:t>
            </w:r>
            <w:r w:rsidR="00BF5E09">
              <w:rPr>
                <w:lang w:val="en-US"/>
              </w:rPr>
              <w:t>with Cather</w:t>
            </w:r>
            <w:r w:rsidR="004C369B">
              <w:rPr>
                <w:lang w:val="en-US"/>
              </w:rPr>
              <w:t xml:space="preserve"> writing only a few decades later</w:t>
            </w:r>
            <w:r w:rsidR="00BF5E09">
              <w:rPr>
                <w:lang w:val="en-US"/>
              </w:rPr>
              <w:t>, but</w:t>
            </w:r>
            <w:r w:rsidR="00104CC4">
              <w:rPr>
                <w:lang w:val="en-US"/>
              </w:rPr>
              <w:t xml:space="preserve"> becoming much more successful in her own lifetime.</w:t>
            </w:r>
          </w:p>
          <w:p w14:paraId="5BCB38B0" w14:textId="1E4A9C7E" w:rsidR="00525617" w:rsidRPr="007018B8" w:rsidRDefault="00525617" w:rsidP="0087783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BDC0440" w14:textId="7C2B8B3C" w:rsidR="00BA2E7A" w:rsidRPr="00651494" w:rsidRDefault="00525617" w:rsidP="00877830">
            <w:pPr>
              <w:jc w:val="both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 xml:space="preserve">To the BT author’s credit, she does </w:t>
            </w:r>
            <w:r w:rsidR="00104CC4">
              <w:rPr>
                <w:lang w:val="en-US"/>
              </w:rPr>
              <w:t xml:space="preserve">in fact </w:t>
            </w:r>
            <w:r w:rsidR="00D03A34">
              <w:rPr>
                <w:lang w:val="en-US"/>
              </w:rPr>
              <w:t xml:space="preserve">describe </w:t>
            </w:r>
            <w:r w:rsidR="00104CC4">
              <w:rPr>
                <w:lang w:val="en-US"/>
              </w:rPr>
              <w:t xml:space="preserve">and explore </w:t>
            </w:r>
            <w:r>
              <w:rPr>
                <w:lang w:val="en-US"/>
              </w:rPr>
              <w:t xml:space="preserve">many of the differences between the two novels and </w:t>
            </w:r>
            <w:r w:rsidR="00BC656A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two women’s lives in terms</w:t>
            </w:r>
            <w:r w:rsidR="00D03A34">
              <w:rPr>
                <w:lang w:val="en-US"/>
              </w:rPr>
              <w:t xml:space="preserve"> </w:t>
            </w:r>
            <w:r w:rsidR="00104CC4">
              <w:rPr>
                <w:lang w:val="en-US"/>
              </w:rPr>
              <w:t>of</w:t>
            </w:r>
            <w:r w:rsidR="00D03A34">
              <w:rPr>
                <w:lang w:val="en-US"/>
              </w:rPr>
              <w:t xml:space="preserve"> societal changes at the turn of the 19</w:t>
            </w:r>
            <w:r w:rsidR="00D03A34" w:rsidRPr="00D03A34">
              <w:rPr>
                <w:vertAlign w:val="superscript"/>
                <w:lang w:val="en-US"/>
              </w:rPr>
              <w:t>th</w:t>
            </w:r>
            <w:r w:rsidR="00D03A34">
              <w:rPr>
                <w:lang w:val="en-US"/>
              </w:rPr>
              <w:t xml:space="preserve"> century and first decades of the 20</w:t>
            </w:r>
            <w:r w:rsidR="00D03A34" w:rsidRPr="00D03A34">
              <w:rPr>
                <w:vertAlign w:val="superscript"/>
                <w:lang w:val="en-US"/>
              </w:rPr>
              <w:t>th</w:t>
            </w:r>
            <w:r w:rsidR="00D03A34">
              <w:rPr>
                <w:lang w:val="en-US"/>
              </w:rPr>
              <w:t xml:space="preserve">. </w:t>
            </w:r>
            <w:r w:rsidR="007018B8">
              <w:rPr>
                <w:lang w:val="en-US"/>
              </w:rPr>
              <w:t>Thus the goals of the thesis were met.</w:t>
            </w:r>
          </w:p>
          <w:p w14:paraId="34501415" w14:textId="3AEF038E" w:rsidR="00B03583" w:rsidRPr="004F7C70" w:rsidRDefault="00B03583" w:rsidP="007C2530">
            <w:pPr>
              <w:ind w:firstLine="708"/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6847E2" w:rsidRPr="004F7C70" w14:paraId="20EC6760" w14:textId="77777777" w:rsidTr="00145335">
        <w:tc>
          <w:tcPr>
            <w:tcW w:w="10170" w:type="dxa"/>
            <w:gridSpan w:val="9"/>
          </w:tcPr>
          <w:p w14:paraId="6E77783C" w14:textId="6B0D3F5B" w:rsidR="006847E2" w:rsidRDefault="003E027C" w:rsidP="00362AB0">
            <w:pPr>
              <w:rPr>
                <w:b/>
                <w:lang w:val="en-US"/>
              </w:rPr>
            </w:pPr>
            <w:r w:rsidRPr="004F7C70">
              <w:rPr>
                <w:b/>
                <w:lang w:val="en-US"/>
              </w:rPr>
              <w:t>Questions</w:t>
            </w:r>
            <w:r w:rsidR="00967103" w:rsidRPr="004F7C70">
              <w:rPr>
                <w:b/>
                <w:lang w:val="en-US"/>
              </w:rPr>
              <w:t xml:space="preserve"> to be answered by student</w:t>
            </w:r>
            <w:r w:rsidR="006847E2" w:rsidRPr="004F7C70">
              <w:rPr>
                <w:b/>
                <w:lang w:val="en-US"/>
              </w:rPr>
              <w:t>:</w:t>
            </w:r>
          </w:p>
          <w:p w14:paraId="76447746" w14:textId="77777777" w:rsidR="00113D64" w:rsidRPr="00113D64" w:rsidRDefault="00113D64" w:rsidP="00362AB0">
            <w:pPr>
              <w:rPr>
                <w:b/>
                <w:sz w:val="12"/>
                <w:szCs w:val="12"/>
                <w:lang w:val="en-US"/>
              </w:rPr>
            </w:pPr>
          </w:p>
          <w:p w14:paraId="3A91FED8" w14:textId="2155EFFC" w:rsidR="00851069" w:rsidRDefault="0085106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1) </w:t>
            </w:r>
            <w:r w:rsidR="004C369B">
              <w:rPr>
                <w:lang w:val="en-US"/>
              </w:rPr>
              <w:t xml:space="preserve">Can you </w:t>
            </w:r>
            <w:r w:rsidR="0081655A">
              <w:rPr>
                <w:lang w:val="en-US"/>
              </w:rPr>
              <w:t>describe some differences between</w:t>
            </w:r>
            <w:r w:rsidR="004C369B">
              <w:rPr>
                <w:lang w:val="en-US"/>
              </w:rPr>
              <w:t xml:space="preserve"> </w:t>
            </w:r>
            <w:r w:rsidR="0081655A">
              <w:rPr>
                <w:lang w:val="en-US"/>
              </w:rPr>
              <w:t xml:space="preserve">the works and life of </w:t>
            </w:r>
            <w:r w:rsidR="004C369B">
              <w:rPr>
                <w:lang w:val="en-US"/>
              </w:rPr>
              <w:t xml:space="preserve">Kate Chopin </w:t>
            </w:r>
            <w:r w:rsidR="0081655A">
              <w:rPr>
                <w:lang w:val="en-US"/>
              </w:rPr>
              <w:t xml:space="preserve">and </w:t>
            </w:r>
            <w:r w:rsidR="00BF5E09" w:rsidRPr="00BF5E09">
              <w:rPr>
                <w:b/>
                <w:lang w:val="en-US"/>
              </w:rPr>
              <w:t xml:space="preserve">one </w:t>
            </w:r>
            <w:r w:rsidR="0081655A" w:rsidRPr="00BF5E09">
              <w:rPr>
                <w:b/>
                <w:lang w:val="en-US"/>
              </w:rPr>
              <w:t>other</w:t>
            </w:r>
            <w:r w:rsidR="004C369B" w:rsidRPr="00BF5E09">
              <w:rPr>
                <w:b/>
                <w:lang w:val="en-US"/>
              </w:rPr>
              <w:t xml:space="preserve"> </w:t>
            </w:r>
            <w:r w:rsidR="00145335" w:rsidRPr="00BF5E09">
              <w:rPr>
                <w:b/>
                <w:lang w:val="en-US"/>
              </w:rPr>
              <w:t>women writer</w:t>
            </w:r>
            <w:r w:rsidR="004C369B">
              <w:rPr>
                <w:lang w:val="en-US"/>
              </w:rPr>
              <w:t xml:space="preserve"> who </w:t>
            </w:r>
            <w:r w:rsidR="00145335">
              <w:rPr>
                <w:lang w:val="en-US"/>
              </w:rPr>
              <w:t>was</w:t>
            </w:r>
            <w:r w:rsidR="004C369B">
              <w:rPr>
                <w:lang w:val="en-US"/>
              </w:rPr>
              <w:t xml:space="preserve"> writing at the same time or </w:t>
            </w:r>
            <w:r w:rsidR="0081655A">
              <w:rPr>
                <w:lang w:val="en-US"/>
              </w:rPr>
              <w:t xml:space="preserve">who </w:t>
            </w:r>
            <w:r w:rsidR="004C369B">
              <w:rPr>
                <w:lang w:val="en-US"/>
              </w:rPr>
              <w:t xml:space="preserve">came before her? </w:t>
            </w:r>
          </w:p>
          <w:p w14:paraId="1CBE944B" w14:textId="77777777" w:rsidR="00113D64" w:rsidRPr="00113D64" w:rsidRDefault="00113D64" w:rsidP="00362AB0">
            <w:pPr>
              <w:rPr>
                <w:sz w:val="12"/>
                <w:szCs w:val="12"/>
                <w:lang w:val="en-US"/>
              </w:rPr>
            </w:pPr>
          </w:p>
          <w:p w14:paraId="30467392" w14:textId="5B925B5C" w:rsidR="006847E2" w:rsidRPr="004F7C70" w:rsidRDefault="00113D64" w:rsidP="00522EF3">
            <w:pPr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145335">
              <w:rPr>
                <w:lang w:val="en-US"/>
              </w:rPr>
              <w:t>Which of the two novels would you more readily recommend to young women readers today? Why?</w:t>
            </w:r>
          </w:p>
          <w:p w14:paraId="1DFD7E8B" w14:textId="4437EB30" w:rsidR="00522EF3" w:rsidRPr="004F7C70" w:rsidRDefault="00522EF3" w:rsidP="00522EF3">
            <w:pPr>
              <w:rPr>
                <w:sz w:val="12"/>
                <w:szCs w:val="12"/>
                <w:lang w:val="en-US"/>
              </w:rPr>
            </w:pPr>
          </w:p>
        </w:tc>
      </w:tr>
      <w:tr w:rsidR="00B34571" w:rsidRPr="004F7C70" w14:paraId="35F3D350" w14:textId="77777777" w:rsidTr="00145335">
        <w:tc>
          <w:tcPr>
            <w:tcW w:w="10170" w:type="dxa"/>
            <w:gridSpan w:val="9"/>
          </w:tcPr>
          <w:p w14:paraId="28468F4A" w14:textId="592C4C6C" w:rsidR="00B34571" w:rsidRPr="004F7C70" w:rsidRDefault="0030066B" w:rsidP="003D4EB1">
            <w:pPr>
              <w:rPr>
                <w:b/>
                <w:lang w:val="en-US"/>
              </w:rPr>
            </w:pPr>
            <w:bookmarkStart w:id="1" w:name="_Hlk40788189"/>
            <w:r w:rsidRPr="004F7C70">
              <w:rPr>
                <w:b/>
                <w:lang w:val="en-US"/>
              </w:rPr>
              <w:t xml:space="preserve">The work </w:t>
            </w:r>
            <w:r w:rsidR="003D4EB1" w:rsidRPr="004F7C70">
              <w:rPr>
                <w:b/>
                <w:lang w:val="en-US"/>
              </w:rPr>
              <w:t>was</w:t>
            </w:r>
            <w:r w:rsidRPr="004F7C70">
              <w:rPr>
                <w:b/>
                <w:lang w:val="en-US"/>
              </w:rPr>
              <w:t xml:space="preserve"> checked </w:t>
            </w:r>
            <w:r w:rsidR="00603BFD" w:rsidRPr="004F7C70">
              <w:rPr>
                <w:b/>
                <w:lang w:val="en-US"/>
              </w:rPr>
              <w:t>by the</w:t>
            </w:r>
            <w:r w:rsidRPr="004F7C70">
              <w:rPr>
                <w:b/>
                <w:lang w:val="en-US"/>
              </w:rPr>
              <w:t xml:space="preserve"> plagiarism detection system Theses with the result of </w:t>
            </w:r>
            <w:r w:rsidR="00CC0EA4" w:rsidRPr="004F7C70">
              <w:rPr>
                <w:b/>
                <w:u w:val="single"/>
                <w:lang w:val="en-US"/>
              </w:rPr>
              <w:t>negative</w:t>
            </w:r>
            <w:r w:rsidRPr="004F7C70">
              <w:rPr>
                <w:b/>
                <w:lang w:val="en-US"/>
              </w:rPr>
              <w:t>.</w:t>
            </w:r>
            <w:r w:rsidR="00B34571" w:rsidRPr="004F7C70">
              <w:rPr>
                <w:b/>
                <w:lang w:val="en-US"/>
              </w:rPr>
              <w:t>*</w:t>
            </w:r>
            <w:bookmarkEnd w:id="1"/>
          </w:p>
        </w:tc>
      </w:tr>
      <w:tr w:rsidR="006847E2" w:rsidRPr="004F7C70" w14:paraId="6956A5B1" w14:textId="77777777" w:rsidTr="00145335">
        <w:tc>
          <w:tcPr>
            <w:tcW w:w="7166" w:type="dxa"/>
            <w:gridSpan w:val="3"/>
          </w:tcPr>
          <w:p w14:paraId="65FE7E33" w14:textId="77777777" w:rsidR="006847E2" w:rsidRPr="004F7C70" w:rsidRDefault="003E027C" w:rsidP="00362AB0">
            <w:pPr>
              <w:rPr>
                <w:lang w:val="en-US"/>
              </w:rPr>
            </w:pPr>
            <w:r w:rsidRPr="004F7C70">
              <w:rPr>
                <w:b/>
                <w:lang w:val="en-US"/>
              </w:rPr>
              <w:t>Overall mark</w:t>
            </w:r>
            <w:r w:rsidR="006847E2" w:rsidRPr="004F7C70">
              <w:rPr>
                <w:rStyle w:val="Znakapoznpodarou"/>
                <w:b/>
                <w:lang w:val="en-US"/>
              </w:rPr>
              <w:footnoteReference w:customMarkFollows="1" w:id="1"/>
              <w:t>*</w:t>
            </w:r>
            <w:r w:rsidR="00B34571" w:rsidRPr="004F7C70">
              <w:rPr>
                <w:b/>
                <w:vertAlign w:val="superscript"/>
                <w:lang w:val="en-US"/>
              </w:rPr>
              <w:t>*</w:t>
            </w:r>
          </w:p>
        </w:tc>
        <w:tc>
          <w:tcPr>
            <w:tcW w:w="507" w:type="dxa"/>
          </w:tcPr>
          <w:p w14:paraId="6F3C5812" w14:textId="50C6BAE7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790B99CE" w14:textId="2FD7186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D1869FF" w14:textId="7352F67B" w:rsidR="006847E2" w:rsidRPr="004F7C70" w:rsidRDefault="007733B1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CA746B6" w14:textId="6641B82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78507D3E" w14:textId="0AE3F52F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472" w:type="dxa"/>
          </w:tcPr>
          <w:p w14:paraId="42E1BE84" w14:textId="126F010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0BED54E4" w14:textId="77777777" w:rsidTr="00145335">
        <w:tc>
          <w:tcPr>
            <w:tcW w:w="4443" w:type="dxa"/>
            <w:gridSpan w:val="2"/>
            <w:vAlign w:val="center"/>
          </w:tcPr>
          <w:p w14:paraId="3C1F6C0A" w14:textId="2F62909F" w:rsidR="006847E2" w:rsidRPr="004F7C70" w:rsidRDefault="006847E2" w:rsidP="00113D64">
            <w:pPr>
              <w:rPr>
                <w:lang w:val="en-US"/>
              </w:rPr>
            </w:pPr>
            <w:r w:rsidRPr="004F7C70">
              <w:rPr>
                <w:lang w:val="en-US"/>
              </w:rPr>
              <w:t>Da</w:t>
            </w:r>
            <w:r w:rsidR="003E027C" w:rsidRPr="004F7C70">
              <w:rPr>
                <w:lang w:val="en-US"/>
              </w:rPr>
              <w:t>te</w:t>
            </w:r>
            <w:r w:rsidRPr="004F7C70">
              <w:rPr>
                <w:lang w:val="en-US"/>
              </w:rPr>
              <w:t>:</w:t>
            </w:r>
            <w:r w:rsidR="00C6348B" w:rsidRPr="004F7C70">
              <w:rPr>
                <w:lang w:val="en-US"/>
              </w:rPr>
              <w:t xml:space="preserve"> </w:t>
            </w:r>
            <w:r w:rsidR="00113D64">
              <w:rPr>
                <w:lang w:val="en-US"/>
              </w:rPr>
              <w:t>26</w:t>
            </w:r>
            <w:r w:rsidR="00C6348B" w:rsidRPr="004F7C70">
              <w:rPr>
                <w:lang w:val="en-US"/>
              </w:rPr>
              <w:t>.</w:t>
            </w:r>
            <w:r w:rsidR="00113D64">
              <w:rPr>
                <w:lang w:val="en-US"/>
              </w:rPr>
              <w:t>5</w:t>
            </w:r>
            <w:r w:rsidR="00C6348B" w:rsidRPr="004F7C70">
              <w:rPr>
                <w:lang w:val="en-US"/>
              </w:rPr>
              <w:t>.202</w:t>
            </w:r>
            <w:r w:rsidR="007733B1">
              <w:rPr>
                <w:lang w:val="en-US"/>
              </w:rPr>
              <w:t>2</w:t>
            </w:r>
          </w:p>
        </w:tc>
        <w:tc>
          <w:tcPr>
            <w:tcW w:w="5727" w:type="dxa"/>
            <w:gridSpan w:val="7"/>
            <w:vAlign w:val="center"/>
          </w:tcPr>
          <w:p w14:paraId="1C809553" w14:textId="77777777" w:rsidR="006847E2" w:rsidRPr="004F7C70" w:rsidRDefault="003E027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Signature</w:t>
            </w:r>
            <w:r w:rsidR="006847E2" w:rsidRPr="004F7C70">
              <w:rPr>
                <w:lang w:val="en-US"/>
              </w:rPr>
              <w:t>:</w:t>
            </w:r>
          </w:p>
        </w:tc>
      </w:tr>
    </w:tbl>
    <w:p w14:paraId="2ADE6A19" w14:textId="77777777" w:rsidR="006847E2" w:rsidRPr="004F7C70" w:rsidRDefault="006847E2" w:rsidP="00C6348B">
      <w:pPr>
        <w:rPr>
          <w:lang w:val="en-US"/>
        </w:rPr>
      </w:pPr>
    </w:p>
    <w:sectPr w:rsidR="006847E2" w:rsidRPr="004F7C70" w:rsidSect="00104CC4">
      <w:pgSz w:w="11906" w:h="16838"/>
      <w:pgMar w:top="810" w:right="1417" w:bottom="13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A8799" w14:textId="77777777" w:rsidR="00AA03B4" w:rsidRDefault="00AA03B4">
      <w:r>
        <w:separator/>
      </w:r>
    </w:p>
  </w:endnote>
  <w:endnote w:type="continuationSeparator" w:id="0">
    <w:p w14:paraId="32C39575" w14:textId="77777777" w:rsidR="00AA03B4" w:rsidRDefault="00AA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ABB30" w14:textId="77777777" w:rsidR="00AA03B4" w:rsidRDefault="00AA03B4">
      <w:r>
        <w:separator/>
      </w:r>
    </w:p>
  </w:footnote>
  <w:footnote w:type="continuationSeparator" w:id="0">
    <w:p w14:paraId="5BA5E713" w14:textId="77777777" w:rsidR="00AA03B4" w:rsidRDefault="00AA03B4">
      <w:r>
        <w:continuationSeparator/>
      </w:r>
    </w:p>
  </w:footnote>
  <w:footnote w:id="1">
    <w:p w14:paraId="5EBC125F" w14:textId="77777777" w:rsidR="00E27C5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Znakapoznpodarou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2051A"/>
    <w:rsid w:val="00042477"/>
    <w:rsid w:val="0006526C"/>
    <w:rsid w:val="00065813"/>
    <w:rsid w:val="00065929"/>
    <w:rsid w:val="00073326"/>
    <w:rsid w:val="000841C9"/>
    <w:rsid w:val="00094414"/>
    <w:rsid w:val="000B66CF"/>
    <w:rsid w:val="000B774C"/>
    <w:rsid w:val="001014A6"/>
    <w:rsid w:val="00104CC4"/>
    <w:rsid w:val="00105590"/>
    <w:rsid w:val="001130EA"/>
    <w:rsid w:val="00113D64"/>
    <w:rsid w:val="001444EE"/>
    <w:rsid w:val="00145335"/>
    <w:rsid w:val="00146DE3"/>
    <w:rsid w:val="00196873"/>
    <w:rsid w:val="001B2D89"/>
    <w:rsid w:val="001C1CA8"/>
    <w:rsid w:val="001C3C78"/>
    <w:rsid w:val="001C4CAB"/>
    <w:rsid w:val="001C6D79"/>
    <w:rsid w:val="001E28BE"/>
    <w:rsid w:val="002603CD"/>
    <w:rsid w:val="002821E6"/>
    <w:rsid w:val="00286D6E"/>
    <w:rsid w:val="002C7227"/>
    <w:rsid w:val="002E0AB5"/>
    <w:rsid w:val="002E1AFC"/>
    <w:rsid w:val="0030066B"/>
    <w:rsid w:val="003043DF"/>
    <w:rsid w:val="003137F6"/>
    <w:rsid w:val="00316A08"/>
    <w:rsid w:val="00320095"/>
    <w:rsid w:val="0032386E"/>
    <w:rsid w:val="00362AB0"/>
    <w:rsid w:val="00365EB7"/>
    <w:rsid w:val="00382168"/>
    <w:rsid w:val="00382E0D"/>
    <w:rsid w:val="003949B4"/>
    <w:rsid w:val="003A69C4"/>
    <w:rsid w:val="003C0C6C"/>
    <w:rsid w:val="003D4EB1"/>
    <w:rsid w:val="003E027C"/>
    <w:rsid w:val="003F5DA2"/>
    <w:rsid w:val="00401253"/>
    <w:rsid w:val="00405295"/>
    <w:rsid w:val="00417CC8"/>
    <w:rsid w:val="00425F0D"/>
    <w:rsid w:val="00430513"/>
    <w:rsid w:val="0043368A"/>
    <w:rsid w:val="00461B43"/>
    <w:rsid w:val="004638EC"/>
    <w:rsid w:val="00474FBC"/>
    <w:rsid w:val="00484A36"/>
    <w:rsid w:val="004B6105"/>
    <w:rsid w:val="004C2086"/>
    <w:rsid w:val="004C369B"/>
    <w:rsid w:val="004F7C70"/>
    <w:rsid w:val="005034E4"/>
    <w:rsid w:val="005048A6"/>
    <w:rsid w:val="00522EF3"/>
    <w:rsid w:val="00525617"/>
    <w:rsid w:val="00526D47"/>
    <w:rsid w:val="00541341"/>
    <w:rsid w:val="00546EFC"/>
    <w:rsid w:val="0055567C"/>
    <w:rsid w:val="005640A5"/>
    <w:rsid w:val="00585DDB"/>
    <w:rsid w:val="005A58F6"/>
    <w:rsid w:val="005B053C"/>
    <w:rsid w:val="005D386A"/>
    <w:rsid w:val="00603BFD"/>
    <w:rsid w:val="00637F79"/>
    <w:rsid w:val="00651494"/>
    <w:rsid w:val="00676509"/>
    <w:rsid w:val="006847E2"/>
    <w:rsid w:val="006E1289"/>
    <w:rsid w:val="006E1A66"/>
    <w:rsid w:val="007018B8"/>
    <w:rsid w:val="007101F6"/>
    <w:rsid w:val="00744306"/>
    <w:rsid w:val="007634DC"/>
    <w:rsid w:val="007733B1"/>
    <w:rsid w:val="007B657C"/>
    <w:rsid w:val="007C0143"/>
    <w:rsid w:val="007C2530"/>
    <w:rsid w:val="007E7DCD"/>
    <w:rsid w:val="007F2763"/>
    <w:rsid w:val="0081655A"/>
    <w:rsid w:val="0082048A"/>
    <w:rsid w:val="00836F0C"/>
    <w:rsid w:val="00844156"/>
    <w:rsid w:val="008509F2"/>
    <w:rsid w:val="00851069"/>
    <w:rsid w:val="008640BB"/>
    <w:rsid w:val="0087209C"/>
    <w:rsid w:val="00877830"/>
    <w:rsid w:val="008934EF"/>
    <w:rsid w:val="008A15B9"/>
    <w:rsid w:val="00906A59"/>
    <w:rsid w:val="00913F8D"/>
    <w:rsid w:val="00933BFD"/>
    <w:rsid w:val="00934626"/>
    <w:rsid w:val="009603D6"/>
    <w:rsid w:val="0096638E"/>
    <w:rsid w:val="00967103"/>
    <w:rsid w:val="009875B9"/>
    <w:rsid w:val="00990CAD"/>
    <w:rsid w:val="009A12FA"/>
    <w:rsid w:val="009D3B86"/>
    <w:rsid w:val="009E4DDE"/>
    <w:rsid w:val="009F4881"/>
    <w:rsid w:val="00A255DD"/>
    <w:rsid w:val="00A42BD7"/>
    <w:rsid w:val="00A508AB"/>
    <w:rsid w:val="00A55E2A"/>
    <w:rsid w:val="00AA03B4"/>
    <w:rsid w:val="00AA1ED7"/>
    <w:rsid w:val="00AA599B"/>
    <w:rsid w:val="00AD2438"/>
    <w:rsid w:val="00AE0165"/>
    <w:rsid w:val="00B03583"/>
    <w:rsid w:val="00B10B4C"/>
    <w:rsid w:val="00B34571"/>
    <w:rsid w:val="00B467FA"/>
    <w:rsid w:val="00B539C5"/>
    <w:rsid w:val="00B5450D"/>
    <w:rsid w:val="00B658F3"/>
    <w:rsid w:val="00B82802"/>
    <w:rsid w:val="00BA2E7A"/>
    <w:rsid w:val="00BA3203"/>
    <w:rsid w:val="00BB73CB"/>
    <w:rsid w:val="00BC656A"/>
    <w:rsid w:val="00BD3FA6"/>
    <w:rsid w:val="00BE1882"/>
    <w:rsid w:val="00BE3CB6"/>
    <w:rsid w:val="00BF5E09"/>
    <w:rsid w:val="00BF75F8"/>
    <w:rsid w:val="00C018CD"/>
    <w:rsid w:val="00C11E00"/>
    <w:rsid w:val="00C47B7A"/>
    <w:rsid w:val="00C6348B"/>
    <w:rsid w:val="00C800F2"/>
    <w:rsid w:val="00C9258E"/>
    <w:rsid w:val="00CC0EA4"/>
    <w:rsid w:val="00CD4F89"/>
    <w:rsid w:val="00CD71FB"/>
    <w:rsid w:val="00D03A34"/>
    <w:rsid w:val="00D55955"/>
    <w:rsid w:val="00D6218D"/>
    <w:rsid w:val="00D77457"/>
    <w:rsid w:val="00D7760B"/>
    <w:rsid w:val="00DC1BF5"/>
    <w:rsid w:val="00DE2F60"/>
    <w:rsid w:val="00DF1C67"/>
    <w:rsid w:val="00E11F41"/>
    <w:rsid w:val="00E13FD5"/>
    <w:rsid w:val="00E14DF2"/>
    <w:rsid w:val="00E27C53"/>
    <w:rsid w:val="00E300A4"/>
    <w:rsid w:val="00E37FE8"/>
    <w:rsid w:val="00E468BE"/>
    <w:rsid w:val="00E627A8"/>
    <w:rsid w:val="00E72F46"/>
    <w:rsid w:val="00E87095"/>
    <w:rsid w:val="00E96873"/>
    <w:rsid w:val="00EA42E7"/>
    <w:rsid w:val="00EC2DDF"/>
    <w:rsid w:val="00EC6E7E"/>
    <w:rsid w:val="00ED402D"/>
    <w:rsid w:val="00ED5ACA"/>
    <w:rsid w:val="00EE598B"/>
    <w:rsid w:val="00F267BA"/>
    <w:rsid w:val="00F31B34"/>
    <w:rsid w:val="00F42552"/>
    <w:rsid w:val="00F46169"/>
    <w:rsid w:val="00F81859"/>
    <w:rsid w:val="00F95ECC"/>
    <w:rsid w:val="00F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0</TotalTime>
  <Pages>2</Pages>
  <Words>459</Words>
  <Characters>2462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Uzivatel</cp:lastModifiedBy>
  <cp:revision>2</cp:revision>
  <cp:lastPrinted>2013-05-10T11:09:00Z</cp:lastPrinted>
  <dcterms:created xsi:type="dcterms:W3CDTF">2022-05-25T11:47:00Z</dcterms:created>
  <dcterms:modified xsi:type="dcterms:W3CDTF">2022-05-25T11:47:00Z</dcterms:modified>
</cp:coreProperties>
</file>