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F1" w:rsidRPr="00FE1061" w:rsidRDefault="005D09F1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5D09F1" w:rsidRPr="00FE1061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FE1061" w:rsidRDefault="005D09F1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 xml:space="preserve">Klára </w:t>
            </w:r>
            <w:proofErr w:type="spellStart"/>
            <w:r>
              <w:t>Urbaniecová</w:t>
            </w:r>
            <w:proofErr w:type="spellEnd"/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>Vzdělávací potřeby učitelů v mateřských školách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>Mgr. Ilona Kočvarová, Ph.D.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>Učitelství pro mateřské školy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>prezenční</w:t>
            </w:r>
          </w:p>
        </w:tc>
      </w:tr>
      <w:tr w:rsidR="005D09F1" w:rsidRPr="00FE1061" w:rsidTr="002C2527">
        <w:tc>
          <w:tcPr>
            <w:tcW w:w="1839" w:type="pct"/>
            <w:vAlign w:val="center"/>
          </w:tcPr>
          <w:p w:rsidR="005D09F1" w:rsidRPr="00FE1061" w:rsidRDefault="005D09F1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D09F1" w:rsidRPr="00FE1061" w:rsidRDefault="005D09F1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FE1061" w:rsidRDefault="005D09F1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30E0F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9E6464"/>
        </w:tc>
        <w:tc>
          <w:tcPr>
            <w:tcW w:w="197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30E0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30E0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2C2527" w:rsidRDefault="00E30E0F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30E0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30E0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FE1061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2C2527" w:rsidRDefault="005D09F1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1B47A4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FE1061" w:rsidRDefault="005D09F1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1B47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4334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1B47A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2C2527" w:rsidRDefault="005D09F1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1B47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1B47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2C2527" w:rsidRDefault="001B47A4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Default="005D09F1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D09F1" w:rsidRPr="003F24EB" w:rsidRDefault="00433BB9" w:rsidP="003F24EB">
            <w:pPr>
              <w:jc w:val="both"/>
              <w:rPr>
                <w:sz w:val="22"/>
                <w:szCs w:val="22"/>
              </w:rPr>
            </w:pPr>
            <w:r w:rsidRPr="003F24EB">
              <w:rPr>
                <w:sz w:val="22"/>
                <w:szCs w:val="22"/>
              </w:rPr>
              <w:t>Práce splňuje základní formální náležitosti.</w:t>
            </w:r>
          </w:p>
          <w:p w:rsidR="00E30E0F" w:rsidRPr="003F24EB" w:rsidRDefault="00543340" w:rsidP="003F2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</w:t>
            </w:r>
            <w:bookmarkStart w:id="0" w:name="_GoBack"/>
            <w:bookmarkEnd w:id="0"/>
            <w:r w:rsidR="00E30E0F" w:rsidRPr="003F24EB">
              <w:rPr>
                <w:sz w:val="22"/>
                <w:szCs w:val="22"/>
              </w:rPr>
              <w:t xml:space="preserve"> obecně koncipována, chybí zde větší důraz na další dlouhodobě diskutovaná a aktuální témata, jako je </w:t>
            </w:r>
            <w:r>
              <w:rPr>
                <w:sz w:val="22"/>
                <w:szCs w:val="22"/>
              </w:rPr>
              <w:t xml:space="preserve">např. </w:t>
            </w:r>
            <w:r w:rsidR="00E30E0F" w:rsidRPr="003F24EB">
              <w:rPr>
                <w:sz w:val="22"/>
                <w:szCs w:val="22"/>
              </w:rPr>
              <w:t>kontroverzní debata o potřebnosti vysokoškolského vzdělání učitelů MŠ, kariérní řád, a také výzkumy realizované v této oblasti.</w:t>
            </w:r>
          </w:p>
          <w:p w:rsidR="0054658B" w:rsidRPr="00FE1061" w:rsidRDefault="00E30E0F" w:rsidP="003F24EB">
            <w:pPr>
              <w:jc w:val="both"/>
            </w:pPr>
            <w:r w:rsidRPr="003F24EB">
              <w:rPr>
                <w:sz w:val="22"/>
                <w:szCs w:val="22"/>
              </w:rPr>
              <w:t xml:space="preserve">V praktické části autorka realizovala dvoufázové kvantitativně orientované šetření. Oceňuji především </w:t>
            </w:r>
            <w:r w:rsidR="001B47A4" w:rsidRPr="003F24EB">
              <w:rPr>
                <w:sz w:val="22"/>
                <w:szCs w:val="22"/>
              </w:rPr>
              <w:t>zpracování přehledu</w:t>
            </w:r>
            <w:r w:rsidRPr="003F24EB">
              <w:rPr>
                <w:sz w:val="22"/>
                <w:szCs w:val="22"/>
              </w:rPr>
              <w:t xml:space="preserve"> aktuální programové nabídky </w:t>
            </w:r>
            <w:r w:rsidR="001B47A4" w:rsidRPr="003F24EB">
              <w:rPr>
                <w:sz w:val="22"/>
                <w:szCs w:val="22"/>
              </w:rPr>
              <w:t xml:space="preserve">DVPP </w:t>
            </w:r>
            <w:r w:rsidRPr="003F24EB">
              <w:rPr>
                <w:sz w:val="22"/>
                <w:szCs w:val="22"/>
              </w:rPr>
              <w:t xml:space="preserve">v rámci </w:t>
            </w:r>
            <w:r w:rsidR="003F24EB">
              <w:rPr>
                <w:sz w:val="22"/>
                <w:szCs w:val="22"/>
              </w:rPr>
              <w:t>ČR, který se stal</w:t>
            </w:r>
            <w:r w:rsidR="001B47A4" w:rsidRPr="003F24EB">
              <w:rPr>
                <w:sz w:val="22"/>
                <w:szCs w:val="22"/>
              </w:rPr>
              <w:t xml:space="preserve"> podkladem pro realizaci dotazníkového šetření. Získaná data pak bylo nutné analyzovat nejen samostatně, ale především ve vzájemném kontextu, což už se tolik nepodařilo. Analýza umožňovala hlouběji proniknout do získaných dat a přinést bohatší závěry. Prezentace výsledků zbytečně duplikuje informace v tabulkách a grafech (často zcela zbytečných), prostor mohl být využit pro interpret</w:t>
            </w:r>
            <w:r w:rsidR="003F24EB" w:rsidRPr="003F24EB">
              <w:rPr>
                <w:sz w:val="22"/>
                <w:szCs w:val="22"/>
              </w:rPr>
              <w:t>aci a diskusi.</w:t>
            </w: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Pr="00FE1061" w:rsidRDefault="005D09F1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4658B" w:rsidRPr="00FE1061" w:rsidRDefault="0054658B" w:rsidP="0054658B">
            <w:r>
              <w:t>1.</w:t>
            </w:r>
            <w:r w:rsidR="003F24EB">
              <w:t xml:space="preserve"> Shrňte nejzásadnější limity Vašeho šetření.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1B47A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54658B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3F24EB">
              <w:rPr>
                <w:sz w:val="22"/>
                <w:szCs w:val="22"/>
              </w:rPr>
              <w:t>11. 5. 2017</w:t>
            </w:r>
          </w:p>
        </w:tc>
        <w:tc>
          <w:tcPr>
            <w:tcW w:w="1212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5D09F1" w:rsidRDefault="005D09F1"/>
    <w:sectPr w:rsidR="005D09F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69" w:rsidRDefault="00DF4369" w:rsidP="001471ED">
      <w:r>
        <w:separator/>
      </w:r>
    </w:p>
  </w:endnote>
  <w:endnote w:type="continuationSeparator" w:id="0">
    <w:p w:rsidR="00DF4369" w:rsidRDefault="00DF4369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69" w:rsidRDefault="00DF4369" w:rsidP="001471ED">
      <w:r>
        <w:separator/>
      </w:r>
    </w:p>
  </w:footnote>
  <w:footnote w:type="continuationSeparator" w:id="0">
    <w:p w:rsidR="00DF4369" w:rsidRDefault="00DF4369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27E8F"/>
    <w:rsid w:val="001471ED"/>
    <w:rsid w:val="001B47A4"/>
    <w:rsid w:val="001D33EA"/>
    <w:rsid w:val="00261F9D"/>
    <w:rsid w:val="002C2527"/>
    <w:rsid w:val="002E40F3"/>
    <w:rsid w:val="00314133"/>
    <w:rsid w:val="00377E40"/>
    <w:rsid w:val="00385E1B"/>
    <w:rsid w:val="003F24EB"/>
    <w:rsid w:val="00417493"/>
    <w:rsid w:val="00433BB9"/>
    <w:rsid w:val="00451A41"/>
    <w:rsid w:val="004A0F0E"/>
    <w:rsid w:val="00501834"/>
    <w:rsid w:val="0053742C"/>
    <w:rsid w:val="00543340"/>
    <w:rsid w:val="0054658B"/>
    <w:rsid w:val="005A01BE"/>
    <w:rsid w:val="005A5D39"/>
    <w:rsid w:val="005A7EDB"/>
    <w:rsid w:val="005D09F1"/>
    <w:rsid w:val="00611CC8"/>
    <w:rsid w:val="006D3086"/>
    <w:rsid w:val="0074336A"/>
    <w:rsid w:val="0078017F"/>
    <w:rsid w:val="008D4BFE"/>
    <w:rsid w:val="008D553A"/>
    <w:rsid w:val="008D70D2"/>
    <w:rsid w:val="00904EC6"/>
    <w:rsid w:val="00974F9A"/>
    <w:rsid w:val="009B20CC"/>
    <w:rsid w:val="009B69DC"/>
    <w:rsid w:val="009E6464"/>
    <w:rsid w:val="00A14391"/>
    <w:rsid w:val="00A727B8"/>
    <w:rsid w:val="00AA58C0"/>
    <w:rsid w:val="00B21FD8"/>
    <w:rsid w:val="00B5120B"/>
    <w:rsid w:val="00B54482"/>
    <w:rsid w:val="00B94260"/>
    <w:rsid w:val="00D264CB"/>
    <w:rsid w:val="00D268E1"/>
    <w:rsid w:val="00D54AA4"/>
    <w:rsid w:val="00DF4369"/>
    <w:rsid w:val="00E30E0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2016-05-23T13:40:00Z</cp:lastPrinted>
  <dcterms:created xsi:type="dcterms:W3CDTF">2017-05-11T08:56:00Z</dcterms:created>
  <dcterms:modified xsi:type="dcterms:W3CDTF">2017-05-19T08:22:00Z</dcterms:modified>
</cp:coreProperties>
</file>