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2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Dana Juřenová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2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žen na rodičovské dovolené k dalšímu vzdělávání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2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2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proofErr w:type="spellStart"/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  <w:r w:rsidR="00550E82">
              <w:rPr>
                <w:b/>
                <w:color w:val="FFFFFF"/>
                <w:sz w:val="22"/>
                <w:szCs w:val="22"/>
              </w:rPr>
              <w:t>A</w:t>
            </w:r>
            <w:proofErr w:type="spellEnd"/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6B0FCB" w:rsidRDefault="006B0FCB" w:rsidP="00C50B27">
            <w:pPr>
              <w:jc w:val="center"/>
              <w:rPr>
                <w:b/>
                <w:sz w:val="22"/>
                <w:szCs w:val="22"/>
              </w:rPr>
            </w:pPr>
            <w:r w:rsidRPr="006B0FC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B5B58" w:rsidRDefault="00EB5B58" w:rsidP="00514664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EB5B58" w:rsidRDefault="00EB5B58" w:rsidP="00C50B27">
            <w:pPr>
              <w:jc w:val="center"/>
              <w:rPr>
                <w:b/>
                <w:sz w:val="22"/>
                <w:szCs w:val="22"/>
              </w:rPr>
            </w:pPr>
            <w:r w:rsidRPr="00EB5B58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82641F" w:rsidRPr="00A359EE" w:rsidRDefault="0082641F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>Aktuální námět s jasným vztahem ke studovanému oboru</w:t>
            </w:r>
          </w:p>
          <w:p w:rsidR="00151EF7" w:rsidRPr="00A359EE" w:rsidRDefault="000E310F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>Převažuje logické</w:t>
            </w:r>
            <w:r w:rsidR="00151EF7" w:rsidRPr="00A359EE">
              <w:rPr>
                <w:sz w:val="22"/>
                <w:szCs w:val="22"/>
              </w:rPr>
              <w:t xml:space="preserve"> uspořádání kapitol teoretické části</w:t>
            </w:r>
            <w:r w:rsidR="00CD10FF" w:rsidRPr="00A359EE">
              <w:rPr>
                <w:sz w:val="22"/>
                <w:szCs w:val="22"/>
              </w:rPr>
              <w:t xml:space="preserve">, </w:t>
            </w:r>
            <w:r w:rsidR="0042193C" w:rsidRPr="00A359EE">
              <w:rPr>
                <w:sz w:val="22"/>
                <w:szCs w:val="22"/>
              </w:rPr>
              <w:t>při je</w:t>
            </w:r>
            <w:r w:rsidR="00F4527A" w:rsidRPr="00A359EE">
              <w:rPr>
                <w:sz w:val="22"/>
                <w:szCs w:val="22"/>
              </w:rPr>
              <w:t>j</w:t>
            </w:r>
            <w:r w:rsidR="00D962B4">
              <w:rPr>
                <w:sz w:val="22"/>
                <w:szCs w:val="22"/>
              </w:rPr>
              <w:t>ímž zpracová</w:t>
            </w:r>
            <w:r w:rsidR="0042193C" w:rsidRPr="00A359EE">
              <w:rPr>
                <w:sz w:val="22"/>
                <w:szCs w:val="22"/>
              </w:rPr>
              <w:t xml:space="preserve">ní </w:t>
            </w:r>
            <w:r w:rsidR="006B0FCB" w:rsidRPr="00A359EE">
              <w:rPr>
                <w:sz w:val="22"/>
                <w:szCs w:val="22"/>
              </w:rPr>
              <w:t xml:space="preserve">autorka </w:t>
            </w:r>
            <w:r w:rsidR="0042193C" w:rsidRPr="00A359EE">
              <w:rPr>
                <w:sz w:val="22"/>
                <w:szCs w:val="22"/>
              </w:rPr>
              <w:t xml:space="preserve">vycházela z publikací </w:t>
            </w:r>
            <w:r w:rsidR="006B0FCB" w:rsidRPr="00A359EE">
              <w:rPr>
                <w:sz w:val="22"/>
                <w:szCs w:val="22"/>
              </w:rPr>
              <w:t>některých</w:t>
            </w:r>
            <w:r w:rsidR="00CD10FF" w:rsidRPr="00A359EE">
              <w:rPr>
                <w:sz w:val="22"/>
                <w:szCs w:val="22"/>
              </w:rPr>
              <w:t xml:space="preserve"> předních českých odborníků (např. I. Sobotková, </w:t>
            </w:r>
            <w:proofErr w:type="spellStart"/>
            <w:r w:rsidR="006B0FCB" w:rsidRPr="00A359EE">
              <w:rPr>
                <w:sz w:val="22"/>
                <w:szCs w:val="22"/>
              </w:rPr>
              <w:t>Gavora</w:t>
            </w:r>
            <w:proofErr w:type="spellEnd"/>
            <w:r w:rsidR="006B0FCB" w:rsidRPr="00A359EE">
              <w:rPr>
                <w:sz w:val="22"/>
                <w:szCs w:val="22"/>
              </w:rPr>
              <w:t xml:space="preserve">, P., </w:t>
            </w:r>
            <w:proofErr w:type="spellStart"/>
            <w:r w:rsidR="006B0FCB" w:rsidRPr="00A359EE">
              <w:rPr>
                <w:sz w:val="22"/>
                <w:szCs w:val="22"/>
              </w:rPr>
              <w:t>Chráska</w:t>
            </w:r>
            <w:proofErr w:type="spellEnd"/>
            <w:r w:rsidR="006B0FCB" w:rsidRPr="00A359EE">
              <w:rPr>
                <w:sz w:val="22"/>
                <w:szCs w:val="22"/>
              </w:rPr>
              <w:t xml:space="preserve">, M., </w:t>
            </w:r>
            <w:proofErr w:type="spellStart"/>
            <w:r w:rsidR="006B0FCB" w:rsidRPr="00A359EE">
              <w:rPr>
                <w:sz w:val="22"/>
                <w:szCs w:val="22"/>
              </w:rPr>
              <w:t>Nakonečný</w:t>
            </w:r>
            <w:proofErr w:type="spellEnd"/>
            <w:r w:rsidR="006B0FCB" w:rsidRPr="00A359EE">
              <w:rPr>
                <w:sz w:val="22"/>
                <w:szCs w:val="22"/>
              </w:rPr>
              <w:t>, M., Průcha, J.</w:t>
            </w:r>
            <w:r w:rsidR="0042193C" w:rsidRPr="00A359EE">
              <w:rPr>
                <w:sz w:val="22"/>
                <w:szCs w:val="22"/>
              </w:rPr>
              <w:t>,…</w:t>
            </w:r>
            <w:r w:rsidR="006B0FCB" w:rsidRPr="00A359EE">
              <w:rPr>
                <w:sz w:val="22"/>
                <w:szCs w:val="22"/>
              </w:rPr>
              <w:t>)</w:t>
            </w:r>
          </w:p>
          <w:p w:rsidR="001647B2" w:rsidRDefault="00F4527A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 xml:space="preserve">Autorka práce se snaží </w:t>
            </w:r>
            <w:r w:rsidR="00FC5ADB">
              <w:rPr>
                <w:sz w:val="22"/>
                <w:szCs w:val="22"/>
              </w:rPr>
              <w:t xml:space="preserve">provázet převzatý odborný text </w:t>
            </w:r>
            <w:r w:rsidR="00AC1869" w:rsidRPr="00A359EE">
              <w:rPr>
                <w:sz w:val="22"/>
                <w:szCs w:val="22"/>
              </w:rPr>
              <w:t xml:space="preserve">vhodnými </w:t>
            </w:r>
            <w:r w:rsidR="001647B2" w:rsidRPr="00A359EE">
              <w:rPr>
                <w:sz w:val="22"/>
                <w:szCs w:val="22"/>
              </w:rPr>
              <w:t>autentickými komentáři</w:t>
            </w:r>
          </w:p>
          <w:p w:rsidR="00F0443E" w:rsidRPr="00F0443E" w:rsidRDefault="00F0443E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>Autorka pečlivě vysvětlila podobnosti a odlišnosti pojmů „mateřská dovolená“ a „rodičovská dovolená“</w:t>
            </w:r>
          </w:p>
          <w:p w:rsidR="00D72ECB" w:rsidRPr="00A359EE" w:rsidRDefault="00F4527A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>Do</w:t>
            </w:r>
            <w:r w:rsidR="00D72ECB" w:rsidRPr="00A359EE">
              <w:rPr>
                <w:sz w:val="22"/>
                <w:szCs w:val="22"/>
              </w:rPr>
              <w:t> teoretické části, týkající se vzdělávání</w:t>
            </w:r>
            <w:r w:rsidR="00F51C96" w:rsidRPr="00A359EE">
              <w:rPr>
                <w:sz w:val="22"/>
                <w:szCs w:val="22"/>
              </w:rPr>
              <w:t>,</w:t>
            </w:r>
            <w:r w:rsidR="008D3578" w:rsidRPr="00A359EE">
              <w:rPr>
                <w:sz w:val="22"/>
                <w:szCs w:val="22"/>
              </w:rPr>
              <w:t xml:space="preserve"> mateřské </w:t>
            </w:r>
            <w:r w:rsidR="00F51C96" w:rsidRPr="00A359EE">
              <w:rPr>
                <w:sz w:val="22"/>
                <w:szCs w:val="22"/>
              </w:rPr>
              <w:t xml:space="preserve"> a rodičovské </w:t>
            </w:r>
            <w:r w:rsidR="008D3578" w:rsidRPr="00A359EE">
              <w:rPr>
                <w:sz w:val="22"/>
                <w:szCs w:val="22"/>
              </w:rPr>
              <w:t>dovolené</w:t>
            </w:r>
            <w:r w:rsidR="00D72ECB" w:rsidRPr="00A359EE">
              <w:rPr>
                <w:sz w:val="22"/>
                <w:szCs w:val="22"/>
              </w:rPr>
              <w:t>, autorka správně zahrnula i specifika vzdělávání</w:t>
            </w:r>
            <w:r w:rsidRPr="00A359EE">
              <w:rPr>
                <w:sz w:val="22"/>
                <w:szCs w:val="22"/>
              </w:rPr>
              <w:t xml:space="preserve"> v dílčích fázích vývoje člověka</w:t>
            </w:r>
            <w:r w:rsidR="00F37588">
              <w:rPr>
                <w:sz w:val="22"/>
                <w:szCs w:val="22"/>
              </w:rPr>
              <w:t>:</w:t>
            </w:r>
            <w:r w:rsidRPr="00A359EE">
              <w:rPr>
                <w:sz w:val="22"/>
                <w:szCs w:val="22"/>
              </w:rPr>
              <w:t xml:space="preserve"> v</w:t>
            </w:r>
            <w:r w:rsidR="00F0443E">
              <w:rPr>
                <w:sz w:val="22"/>
                <w:szCs w:val="22"/>
              </w:rPr>
              <w:t xml:space="preserve"> kontextu oblastí vzdělávání dospělých, mateřské a rodičovské dovolené </w:t>
            </w:r>
            <w:r w:rsidRPr="00A359EE">
              <w:rPr>
                <w:sz w:val="22"/>
                <w:szCs w:val="22"/>
              </w:rPr>
              <w:t>je zmíněna také aktuální legislativa v ČR</w:t>
            </w:r>
          </w:p>
          <w:p w:rsidR="006D638E" w:rsidRPr="00A359EE" w:rsidRDefault="006D638E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A359EE">
              <w:rPr>
                <w:sz w:val="22"/>
                <w:szCs w:val="22"/>
              </w:rPr>
              <w:t xml:space="preserve">Srozumitelná formulace výzkumných cílů </w:t>
            </w:r>
            <w:r w:rsidR="0050045F" w:rsidRPr="00A359EE">
              <w:rPr>
                <w:sz w:val="22"/>
                <w:szCs w:val="22"/>
              </w:rPr>
              <w:t>a některých dalších částí metodologie kvantitativního</w:t>
            </w:r>
            <w:r w:rsidRPr="00A359EE">
              <w:rPr>
                <w:sz w:val="22"/>
                <w:szCs w:val="22"/>
              </w:rPr>
              <w:t xml:space="preserve"> výzkumu</w:t>
            </w:r>
            <w:r w:rsidR="00A359EE" w:rsidRPr="00A359EE">
              <w:rPr>
                <w:sz w:val="22"/>
                <w:szCs w:val="22"/>
              </w:rPr>
              <w:t>, realizace předvýzkumu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E1639" w:rsidRPr="00F0443E" w:rsidRDefault="007E72DE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443E">
              <w:rPr>
                <w:sz w:val="22"/>
                <w:szCs w:val="22"/>
              </w:rPr>
              <w:t xml:space="preserve">Nedostatky formálního </w:t>
            </w:r>
            <w:r w:rsidR="00D50428" w:rsidRPr="00F0443E">
              <w:rPr>
                <w:sz w:val="22"/>
                <w:szCs w:val="22"/>
              </w:rPr>
              <w:t xml:space="preserve">a pravopisného </w:t>
            </w:r>
            <w:r w:rsidRPr="00F0443E">
              <w:rPr>
                <w:sz w:val="22"/>
                <w:szCs w:val="22"/>
              </w:rPr>
              <w:t xml:space="preserve">charakteru, </w:t>
            </w:r>
            <w:r w:rsidR="001D2442" w:rsidRPr="00F0443E">
              <w:rPr>
                <w:sz w:val="22"/>
                <w:szCs w:val="22"/>
              </w:rPr>
              <w:t>např. s. 13,</w:t>
            </w:r>
            <w:r w:rsidR="000A139D" w:rsidRPr="00F0443E">
              <w:rPr>
                <w:sz w:val="22"/>
                <w:szCs w:val="22"/>
              </w:rPr>
              <w:t xml:space="preserve"> 21</w:t>
            </w:r>
            <w:r w:rsidR="00D12516" w:rsidRPr="00F0443E">
              <w:rPr>
                <w:sz w:val="22"/>
                <w:szCs w:val="22"/>
              </w:rPr>
              <w:t>, 31</w:t>
            </w:r>
            <w:r w:rsidR="00F0443E" w:rsidRPr="00F0443E">
              <w:rPr>
                <w:sz w:val="22"/>
                <w:szCs w:val="22"/>
              </w:rPr>
              <w:t>…,</w:t>
            </w:r>
            <w:r w:rsidR="001D2442" w:rsidRPr="00F0443E">
              <w:rPr>
                <w:sz w:val="22"/>
                <w:szCs w:val="22"/>
              </w:rPr>
              <w:t xml:space="preserve"> </w:t>
            </w:r>
            <w:r w:rsidR="00F0443E" w:rsidRPr="00F0443E">
              <w:rPr>
                <w:sz w:val="22"/>
                <w:szCs w:val="22"/>
              </w:rPr>
              <w:t>uvádění</w:t>
            </w:r>
            <w:r w:rsidRPr="00F0443E">
              <w:rPr>
                <w:sz w:val="22"/>
                <w:szCs w:val="22"/>
              </w:rPr>
              <w:t xml:space="preserve"> zkratek bez předchozího vysvětlení (</w:t>
            </w:r>
            <w:proofErr w:type="gramStart"/>
            <w:r w:rsidRPr="00F0443E">
              <w:rPr>
                <w:sz w:val="22"/>
                <w:szCs w:val="22"/>
              </w:rPr>
              <w:t>s.10</w:t>
            </w:r>
            <w:proofErr w:type="gramEnd"/>
            <w:r w:rsidR="00D826F5" w:rsidRPr="00F0443E">
              <w:rPr>
                <w:sz w:val="22"/>
                <w:szCs w:val="22"/>
              </w:rPr>
              <w:t>, 35…</w:t>
            </w:r>
            <w:r w:rsidRPr="00F0443E">
              <w:rPr>
                <w:sz w:val="22"/>
                <w:szCs w:val="22"/>
              </w:rPr>
              <w:t>)</w:t>
            </w:r>
            <w:r w:rsidR="00D50428" w:rsidRPr="00F0443E">
              <w:rPr>
                <w:sz w:val="22"/>
                <w:szCs w:val="22"/>
              </w:rPr>
              <w:t xml:space="preserve">, </w:t>
            </w:r>
            <w:r w:rsidR="00433FE2" w:rsidRPr="00F0443E">
              <w:rPr>
                <w:sz w:val="22"/>
                <w:szCs w:val="22"/>
              </w:rPr>
              <w:t>neobratné formulace, ne vždy je zřejmá souvislost po sobě následujících odstavců</w:t>
            </w:r>
            <w:r w:rsidR="007E7E82">
              <w:rPr>
                <w:sz w:val="22"/>
                <w:szCs w:val="22"/>
              </w:rPr>
              <w:t xml:space="preserve"> textu</w:t>
            </w:r>
            <w:r w:rsidR="00433FE2" w:rsidRPr="00F0443E">
              <w:rPr>
                <w:sz w:val="22"/>
                <w:szCs w:val="22"/>
              </w:rPr>
              <w:t>, např. s. 13,</w:t>
            </w:r>
            <w:r w:rsidR="00F77747" w:rsidRPr="00F0443E">
              <w:rPr>
                <w:sz w:val="22"/>
                <w:szCs w:val="22"/>
              </w:rPr>
              <w:t xml:space="preserve"> 16..</w:t>
            </w:r>
            <w:r w:rsidR="004A3EBD" w:rsidRPr="00F0443E">
              <w:rPr>
                <w:sz w:val="22"/>
                <w:szCs w:val="22"/>
              </w:rPr>
              <w:t xml:space="preserve">, </w:t>
            </w:r>
            <w:r w:rsidR="007E7E82">
              <w:rPr>
                <w:sz w:val="22"/>
                <w:szCs w:val="22"/>
              </w:rPr>
              <w:t xml:space="preserve">nejednotný je způsob uvádění odkazů na publikace (např. s. 30), </w:t>
            </w:r>
            <w:r w:rsidR="004C76D4" w:rsidRPr="00F0443E">
              <w:rPr>
                <w:sz w:val="22"/>
                <w:szCs w:val="22"/>
              </w:rPr>
              <w:t xml:space="preserve">nesprávně uvedené odkazy na publikace </w:t>
            </w:r>
            <w:r w:rsidR="007E7E82">
              <w:rPr>
                <w:sz w:val="22"/>
                <w:szCs w:val="22"/>
              </w:rPr>
              <w:t xml:space="preserve">(např. </w:t>
            </w:r>
            <w:r w:rsidR="004A3EBD" w:rsidRPr="00F0443E">
              <w:rPr>
                <w:sz w:val="22"/>
                <w:szCs w:val="22"/>
              </w:rPr>
              <w:t>s. 17</w:t>
            </w:r>
            <w:r w:rsidR="004C76D4" w:rsidRPr="00F0443E">
              <w:rPr>
                <w:sz w:val="22"/>
                <w:szCs w:val="22"/>
              </w:rPr>
              <w:t>, 20</w:t>
            </w:r>
            <w:r w:rsidR="00EB205F" w:rsidRPr="00F0443E">
              <w:rPr>
                <w:sz w:val="22"/>
                <w:szCs w:val="22"/>
              </w:rPr>
              <w:t>, 29</w:t>
            </w:r>
            <w:r w:rsidR="007E7E82">
              <w:rPr>
                <w:sz w:val="22"/>
                <w:szCs w:val="22"/>
              </w:rPr>
              <w:t>…)</w:t>
            </w:r>
          </w:p>
          <w:p w:rsidR="00B411DB" w:rsidRDefault="00A45C3C" w:rsidP="00F0443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0443E">
              <w:rPr>
                <w:sz w:val="22"/>
                <w:szCs w:val="22"/>
              </w:rPr>
              <w:t>Absence cizojazyčného zdroje</w:t>
            </w:r>
            <w:r w:rsidR="007E7E82">
              <w:rPr>
                <w:sz w:val="22"/>
                <w:szCs w:val="22"/>
              </w:rPr>
              <w:t xml:space="preserve"> </w:t>
            </w:r>
            <w:r w:rsidR="005B0BC7">
              <w:rPr>
                <w:sz w:val="22"/>
                <w:szCs w:val="22"/>
              </w:rPr>
              <w:t>při zpracovávání teorie</w:t>
            </w:r>
          </w:p>
          <w:p w:rsidR="00182F58" w:rsidRPr="005F0602" w:rsidRDefault="00182F58" w:rsidP="005F060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</w:t>
            </w:r>
            <w:r w:rsidRPr="00F0443E">
              <w:rPr>
                <w:sz w:val="22"/>
                <w:szCs w:val="22"/>
              </w:rPr>
              <w:t>teoretické části ulpívá spíše na povrchu problematiky,</w:t>
            </w:r>
            <w:r>
              <w:rPr>
                <w:sz w:val="22"/>
                <w:szCs w:val="22"/>
              </w:rPr>
              <w:t xml:space="preserve"> což je škoda, protože náměty </w:t>
            </w:r>
            <w:r w:rsidRPr="00F0443E">
              <w:rPr>
                <w:sz w:val="22"/>
                <w:szCs w:val="22"/>
              </w:rPr>
              <w:t xml:space="preserve">vzdělávání a motivace k němu u žen na </w:t>
            </w:r>
            <w:r>
              <w:rPr>
                <w:sz w:val="22"/>
                <w:szCs w:val="22"/>
              </w:rPr>
              <w:t>rodičovské dovolené lze velmi dobře propojit;</w:t>
            </w:r>
            <w:r w:rsidRPr="00F044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naopak se v textu nadbytečně opakují úvahy obecného charakteru (na úkor konkrétnějších poznatků)</w:t>
            </w:r>
          </w:p>
          <w:p w:rsidR="00B26DCA" w:rsidRPr="00017AB5" w:rsidRDefault="003B3BE5" w:rsidP="00F0443E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017AB5">
              <w:t xml:space="preserve">V kapitole </w:t>
            </w:r>
            <w:proofErr w:type="gramStart"/>
            <w:r w:rsidRPr="00017AB5">
              <w:t xml:space="preserve">1.2. </w:t>
            </w:r>
            <w:r w:rsidR="00017AB5" w:rsidRPr="00017AB5">
              <w:t>by</w:t>
            </w:r>
            <w:proofErr w:type="gramEnd"/>
            <w:r w:rsidR="00017AB5" w:rsidRPr="00017AB5">
              <w:t xml:space="preserve"> bylo vhodné </w:t>
            </w:r>
            <w:r w:rsidRPr="00017AB5">
              <w:t xml:space="preserve">přesné znění zákonů, např. </w:t>
            </w:r>
            <w:r w:rsidR="001A2EE1">
              <w:rPr>
                <w:rFonts w:eastAsiaTheme="minorHAnsi"/>
                <w:lang w:eastAsia="en-US"/>
              </w:rPr>
              <w:t>Zákon o vysokých školách aj.</w:t>
            </w:r>
          </w:p>
          <w:p w:rsidR="003B3BE5" w:rsidRPr="00017AB5" w:rsidRDefault="00B35AC3" w:rsidP="00362AB0">
            <w:pPr>
              <w:pStyle w:val="Odstavecseseznamem"/>
              <w:numPr>
                <w:ilvl w:val="0"/>
                <w:numId w:val="1"/>
              </w:numPr>
            </w:pPr>
            <w:r w:rsidRPr="00017AB5">
              <w:lastRenderedPageBreak/>
              <w:t>Části textu</w:t>
            </w:r>
            <w:r w:rsidR="00CE6644" w:rsidRPr="00017AB5">
              <w:t xml:space="preserve"> „Vnitřní motivace“ a „Vnější motivace“ by bylo vhodné zařadit k</w:t>
            </w:r>
            <w:r w:rsidR="005F0602" w:rsidRPr="00017AB5">
              <w:t>e 2. kapitole, která je obecným úvodem k tématu „motivace“</w:t>
            </w:r>
          </w:p>
          <w:p w:rsidR="008C525F" w:rsidRPr="00017AB5" w:rsidRDefault="008C525F" w:rsidP="00362AB0">
            <w:pPr>
              <w:pStyle w:val="Odstavecseseznamem"/>
              <w:numPr>
                <w:ilvl w:val="0"/>
                <w:numId w:val="1"/>
              </w:numPr>
            </w:pPr>
            <w:r w:rsidRPr="00017AB5">
              <w:t>Méně systematické až chaotické zpracování kapitoly 4.1.</w:t>
            </w:r>
          </w:p>
          <w:p w:rsidR="00617E4B" w:rsidRPr="00017AB5" w:rsidRDefault="005F0602" w:rsidP="00C52BDA">
            <w:pPr>
              <w:pStyle w:val="Odstavecseseznamem"/>
              <w:numPr>
                <w:ilvl w:val="0"/>
                <w:numId w:val="1"/>
              </w:numPr>
            </w:pPr>
            <w:r w:rsidRPr="00017AB5">
              <w:t>Výzkumné cíle - o</w:t>
            </w:r>
            <w:r w:rsidR="0050045F" w:rsidRPr="00017AB5">
              <w:t>blasti zkoumání VO1 a VO2 se mohou prolínat</w:t>
            </w:r>
            <w:r w:rsidR="00631948" w:rsidRPr="00017AB5">
              <w:t xml:space="preserve"> </w:t>
            </w:r>
            <w:bookmarkStart w:id="0" w:name="_GoBack"/>
            <w:bookmarkEnd w:id="0"/>
          </w:p>
          <w:p w:rsidR="00D26A63" w:rsidRPr="00017AB5" w:rsidRDefault="00D26A63" w:rsidP="00003BC1">
            <w:pPr>
              <w:pStyle w:val="Odstavecseseznamem"/>
              <w:numPr>
                <w:ilvl w:val="0"/>
                <w:numId w:val="1"/>
              </w:numPr>
            </w:pPr>
            <w:r w:rsidRPr="00017AB5">
              <w:t>U většiny vyhodnocovaných položek dotazníku autorka neuvádí absolutní četnosti, což v některých případech (viz otázka k obhajobě) vede k</w:t>
            </w:r>
            <w:r w:rsidR="00631948" w:rsidRPr="00017AB5">
              <w:t> </w:t>
            </w:r>
            <w:r w:rsidRPr="00017AB5">
              <w:t>nejasnostem</w:t>
            </w:r>
          </w:p>
          <w:p w:rsidR="00631948" w:rsidRPr="00017AB5" w:rsidRDefault="00631948" w:rsidP="00003BC1">
            <w:pPr>
              <w:pStyle w:val="Odstavecseseznamem"/>
              <w:numPr>
                <w:ilvl w:val="0"/>
                <w:numId w:val="1"/>
              </w:numPr>
            </w:pPr>
            <w:r w:rsidRPr="00017AB5">
              <w:t>Z téhož důvodu není jasný způsob vyhodnocení a zodpovězení otázek VO1 a VO2 (aspoň na popisné, když ne na vztahové úrovni)</w:t>
            </w:r>
          </w:p>
          <w:p w:rsidR="00877D19" w:rsidRDefault="00236A12" w:rsidP="00362AB0">
            <w:pPr>
              <w:pStyle w:val="Odstavecseseznamem"/>
              <w:numPr>
                <w:ilvl w:val="0"/>
                <w:numId w:val="1"/>
              </w:numPr>
            </w:pPr>
            <w:r w:rsidRPr="00017AB5">
              <w:t>Kapitola</w:t>
            </w:r>
            <w:r w:rsidR="00EB5B58" w:rsidRPr="00017AB5">
              <w:t xml:space="preserve"> Interpretace </w:t>
            </w:r>
            <w:r w:rsidRPr="00017AB5">
              <w:t>dat a dopor</w:t>
            </w:r>
            <w:r w:rsidR="00631948" w:rsidRPr="00017AB5">
              <w:t>učení pro praxi převážně shrnují</w:t>
            </w:r>
            <w:r w:rsidRPr="00017AB5">
              <w:t xml:space="preserve"> informace z Analýzy dat</w:t>
            </w:r>
          </w:p>
          <w:p w:rsidR="005D6D1E" w:rsidRPr="00017AB5" w:rsidRDefault="00EB5B58" w:rsidP="00877D19">
            <w:pPr>
              <w:pStyle w:val="Odstavecseseznamem"/>
            </w:pPr>
            <w:r w:rsidRPr="00017AB5">
              <w:t xml:space="preserve"> </w:t>
            </w:r>
          </w:p>
          <w:p w:rsidR="009F4E9D" w:rsidRPr="00017AB5" w:rsidRDefault="009F4E9D" w:rsidP="00877D19">
            <w:pPr>
              <w:pStyle w:val="Odstavecseseznamem"/>
            </w:pPr>
            <w:r w:rsidRPr="00017AB5">
              <w:t>Práci doporučuji k</w:t>
            </w:r>
            <w:r w:rsidR="006D3AF4" w:rsidRPr="00017AB5">
              <w:t> </w:t>
            </w:r>
            <w:r w:rsidRPr="00017AB5">
              <w:t>obhajobě</w:t>
            </w:r>
            <w:r w:rsidR="006D3AF4" w:rsidRPr="00017AB5">
              <w:t xml:space="preserve"> </w:t>
            </w:r>
            <w:r w:rsidRPr="00017AB5">
              <w:t xml:space="preserve"> -  </w:t>
            </w:r>
            <w:r w:rsidR="001A2EE1">
              <w:t>bylo by však vhodné,</w:t>
            </w:r>
            <w:r w:rsidR="006D3AF4" w:rsidRPr="00017AB5">
              <w:t xml:space="preserve"> aby autorka práce vysvětlila</w:t>
            </w:r>
            <w:r w:rsidRPr="00017AB5">
              <w:t xml:space="preserve"> nejasnosti vyhodnocení VO1 a VO2 a níže uvedenou otázku k</w:t>
            </w:r>
            <w:r w:rsidR="00877D19">
              <w:t> </w:t>
            </w:r>
            <w:r w:rsidRPr="00017AB5">
              <w:t>obhajobě</w:t>
            </w:r>
            <w:r w:rsidR="00877D19"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77D19" w:rsidRDefault="00877D19" w:rsidP="00B479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Otázka</w:t>
            </w:r>
            <w:r w:rsidR="00B411DB" w:rsidRPr="00C50B27">
              <w:rPr>
                <w:b/>
                <w:sz w:val="22"/>
                <w:szCs w:val="22"/>
              </w:rPr>
              <w:t xml:space="preserve"> k obhajobě:</w:t>
            </w:r>
          </w:p>
          <w:p w:rsidR="005D6D1E" w:rsidRPr="00C50B27" w:rsidRDefault="00236A12" w:rsidP="001A2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položkách dotazníku </w:t>
            </w:r>
            <w:r w:rsidR="005D6D1E">
              <w:rPr>
                <w:sz w:val="22"/>
                <w:szCs w:val="22"/>
              </w:rPr>
              <w:t xml:space="preserve"> č. </w:t>
            </w:r>
            <w:r w:rsidR="008D15E8">
              <w:rPr>
                <w:sz w:val="22"/>
                <w:szCs w:val="22"/>
              </w:rPr>
              <w:t xml:space="preserve">10, </w:t>
            </w:r>
            <w:r w:rsidR="00E7504D">
              <w:rPr>
                <w:sz w:val="22"/>
                <w:szCs w:val="22"/>
              </w:rPr>
              <w:t xml:space="preserve">11, </w:t>
            </w:r>
            <w:r w:rsidR="005D6D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</w:t>
            </w:r>
            <w:r w:rsidR="009D3BC4">
              <w:rPr>
                <w:sz w:val="22"/>
                <w:szCs w:val="22"/>
              </w:rPr>
              <w:t xml:space="preserve"> 16</w:t>
            </w:r>
            <w:r>
              <w:rPr>
                <w:sz w:val="22"/>
                <w:szCs w:val="22"/>
              </w:rPr>
              <w:t>, 17, 18 a 19 se občas setkáváme s odlišnými procenty respondentek, které uvádějí, že se na RD nevzdělávaly.</w:t>
            </w:r>
            <w:r w:rsidR="005D6D1E">
              <w:rPr>
                <w:sz w:val="22"/>
                <w:szCs w:val="22"/>
              </w:rPr>
              <w:t xml:space="preserve"> </w:t>
            </w:r>
            <w:r w:rsidR="00E06127">
              <w:rPr>
                <w:sz w:val="22"/>
                <w:szCs w:val="22"/>
              </w:rPr>
              <w:t xml:space="preserve">Z téhož důvodu není jasné, k jakému počtu </w:t>
            </w:r>
            <w:r>
              <w:rPr>
                <w:sz w:val="22"/>
                <w:szCs w:val="22"/>
              </w:rPr>
              <w:t>nebo části respondentek se vztahují položky č. 12</w:t>
            </w:r>
            <w:r w:rsidR="00E06127">
              <w:rPr>
                <w:sz w:val="22"/>
                <w:szCs w:val="22"/>
              </w:rPr>
              <w:t xml:space="preserve"> </w:t>
            </w:r>
            <w:r w:rsidR="001A2EE1">
              <w:rPr>
                <w:sz w:val="22"/>
                <w:szCs w:val="22"/>
              </w:rPr>
              <w:t>nebo 13, podobně</w:t>
            </w:r>
            <w:r w:rsidR="00A55F71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dále, např. u položek č. 14, 16…Prosíme o vysvětlení</w:t>
            </w:r>
            <w:r w:rsidR="005D6D1E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50E82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B5B5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B5B58" w:rsidRDefault="00316E8F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B27F5">
              <w:rPr>
                <w:sz w:val="22"/>
                <w:szCs w:val="22"/>
              </w:rPr>
              <w:t xml:space="preserve"> </w:t>
            </w:r>
            <w:proofErr w:type="gramStart"/>
            <w:r w:rsidR="000B27F5">
              <w:rPr>
                <w:sz w:val="22"/>
                <w:szCs w:val="22"/>
              </w:rPr>
              <w:t>30.12.2020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0E82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79" w:rsidRDefault="00364B79">
      <w:r>
        <w:separator/>
      </w:r>
    </w:p>
  </w:endnote>
  <w:endnote w:type="continuationSeparator" w:id="0">
    <w:p w:rsidR="00364B79" w:rsidRDefault="003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79" w:rsidRDefault="00364B79">
      <w:r>
        <w:separator/>
      </w:r>
    </w:p>
  </w:footnote>
  <w:footnote w:type="continuationSeparator" w:id="0">
    <w:p w:rsidR="00364B79" w:rsidRDefault="00364B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1071"/>
    <w:multiLevelType w:val="hybridMultilevel"/>
    <w:tmpl w:val="3976F652"/>
    <w:lvl w:ilvl="0" w:tplc="FD16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A5"/>
    <w:multiLevelType w:val="hybridMultilevel"/>
    <w:tmpl w:val="03288E3A"/>
    <w:lvl w:ilvl="0" w:tplc="B10C9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23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AF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40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4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1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66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0A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87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03BC1"/>
    <w:rsid w:val="00017AB5"/>
    <w:rsid w:val="000A139D"/>
    <w:rsid w:val="000A71DC"/>
    <w:rsid w:val="000B27F5"/>
    <w:rsid w:val="000E098A"/>
    <w:rsid w:val="000E2C47"/>
    <w:rsid w:val="000E310F"/>
    <w:rsid w:val="0012490C"/>
    <w:rsid w:val="001434A3"/>
    <w:rsid w:val="00151EF7"/>
    <w:rsid w:val="001647B2"/>
    <w:rsid w:val="00182F58"/>
    <w:rsid w:val="001A2EE1"/>
    <w:rsid w:val="001B37C3"/>
    <w:rsid w:val="001D2442"/>
    <w:rsid w:val="002168F8"/>
    <w:rsid w:val="00236A12"/>
    <w:rsid w:val="00247C7A"/>
    <w:rsid w:val="00287F68"/>
    <w:rsid w:val="00316E8F"/>
    <w:rsid w:val="00362AB0"/>
    <w:rsid w:val="00364B79"/>
    <w:rsid w:val="003B3BE5"/>
    <w:rsid w:val="003F5DA2"/>
    <w:rsid w:val="0040389A"/>
    <w:rsid w:val="0042193C"/>
    <w:rsid w:val="00433FE2"/>
    <w:rsid w:val="004A1BD2"/>
    <w:rsid w:val="004A3EBD"/>
    <w:rsid w:val="004B6F31"/>
    <w:rsid w:val="004C76D4"/>
    <w:rsid w:val="004F4730"/>
    <w:rsid w:val="0050045F"/>
    <w:rsid w:val="00512982"/>
    <w:rsid w:val="00514664"/>
    <w:rsid w:val="00526D47"/>
    <w:rsid w:val="00535171"/>
    <w:rsid w:val="00550E82"/>
    <w:rsid w:val="0055255D"/>
    <w:rsid w:val="00561F1E"/>
    <w:rsid w:val="0056237C"/>
    <w:rsid w:val="00574705"/>
    <w:rsid w:val="00583DC6"/>
    <w:rsid w:val="005B0BC7"/>
    <w:rsid w:val="005C219A"/>
    <w:rsid w:val="005D6D1E"/>
    <w:rsid w:val="005F0602"/>
    <w:rsid w:val="00617E4B"/>
    <w:rsid w:val="00631948"/>
    <w:rsid w:val="00670827"/>
    <w:rsid w:val="006847E2"/>
    <w:rsid w:val="006B0FCB"/>
    <w:rsid w:val="006D3AF4"/>
    <w:rsid w:val="006D638E"/>
    <w:rsid w:val="006D6512"/>
    <w:rsid w:val="00702887"/>
    <w:rsid w:val="00730C1A"/>
    <w:rsid w:val="007C0F4D"/>
    <w:rsid w:val="007E72DE"/>
    <w:rsid w:val="007E7E82"/>
    <w:rsid w:val="007F0857"/>
    <w:rsid w:val="007F5E5A"/>
    <w:rsid w:val="007F6BAD"/>
    <w:rsid w:val="00811B96"/>
    <w:rsid w:val="0082641F"/>
    <w:rsid w:val="00877D19"/>
    <w:rsid w:val="008C525F"/>
    <w:rsid w:val="008D15E8"/>
    <w:rsid w:val="008D3578"/>
    <w:rsid w:val="009648A0"/>
    <w:rsid w:val="009C41DF"/>
    <w:rsid w:val="009D3BC4"/>
    <w:rsid w:val="009D468B"/>
    <w:rsid w:val="009F4E9D"/>
    <w:rsid w:val="00A2223C"/>
    <w:rsid w:val="00A359EE"/>
    <w:rsid w:val="00A45C3C"/>
    <w:rsid w:val="00A55F71"/>
    <w:rsid w:val="00A60AD7"/>
    <w:rsid w:val="00A624D1"/>
    <w:rsid w:val="00AA1DB4"/>
    <w:rsid w:val="00AB4790"/>
    <w:rsid w:val="00AC1869"/>
    <w:rsid w:val="00AC6F34"/>
    <w:rsid w:val="00B26DCA"/>
    <w:rsid w:val="00B35AC3"/>
    <w:rsid w:val="00B411DB"/>
    <w:rsid w:val="00B47971"/>
    <w:rsid w:val="00BA3203"/>
    <w:rsid w:val="00C03D7D"/>
    <w:rsid w:val="00C50B27"/>
    <w:rsid w:val="00C52BDA"/>
    <w:rsid w:val="00C80A1C"/>
    <w:rsid w:val="00C8124F"/>
    <w:rsid w:val="00CD10FF"/>
    <w:rsid w:val="00CE146D"/>
    <w:rsid w:val="00CE6644"/>
    <w:rsid w:val="00D12516"/>
    <w:rsid w:val="00D26A63"/>
    <w:rsid w:val="00D50428"/>
    <w:rsid w:val="00D51AF6"/>
    <w:rsid w:val="00D62416"/>
    <w:rsid w:val="00D72ECB"/>
    <w:rsid w:val="00D826F5"/>
    <w:rsid w:val="00D962B4"/>
    <w:rsid w:val="00DA53FF"/>
    <w:rsid w:val="00DC1BF5"/>
    <w:rsid w:val="00E06127"/>
    <w:rsid w:val="00E709EA"/>
    <w:rsid w:val="00E7504D"/>
    <w:rsid w:val="00E86BDD"/>
    <w:rsid w:val="00EB205F"/>
    <w:rsid w:val="00EB5B58"/>
    <w:rsid w:val="00F0443E"/>
    <w:rsid w:val="00F27414"/>
    <w:rsid w:val="00F37588"/>
    <w:rsid w:val="00F4527A"/>
    <w:rsid w:val="00F51C96"/>
    <w:rsid w:val="00F75203"/>
    <w:rsid w:val="00F77747"/>
    <w:rsid w:val="00FC5ADB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9EC30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473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6</cp:revision>
  <cp:lastPrinted>2012-04-25T08:21:00Z</cp:lastPrinted>
  <dcterms:created xsi:type="dcterms:W3CDTF">2020-12-30T14:42:00Z</dcterms:created>
  <dcterms:modified xsi:type="dcterms:W3CDTF">2021-01-04T13:07:00Z</dcterms:modified>
</cp:coreProperties>
</file>