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B6C086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1C06">
        <w:rPr>
          <w:rFonts w:asciiTheme="minorHAnsi" w:hAnsiTheme="minorHAnsi" w:cstheme="minorHAnsi"/>
          <w:sz w:val="22"/>
          <w:szCs w:val="22"/>
        </w:rPr>
        <w:t xml:space="preserve">Bc. Katarína </w:t>
      </w:r>
      <w:r w:rsidR="007F2485">
        <w:rPr>
          <w:rFonts w:asciiTheme="minorHAnsi" w:hAnsiTheme="minorHAnsi" w:cstheme="minorHAnsi"/>
          <w:sz w:val="22"/>
          <w:szCs w:val="22"/>
        </w:rPr>
        <w:t>Kundrátová</w:t>
      </w:r>
    </w:p>
    <w:p w14:paraId="00D6BB86" w14:textId="6BE972E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2485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9E4DE65" w14:textId="3030C6A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F2485">
        <w:rPr>
          <w:rFonts w:cstheme="minorHAnsi"/>
        </w:rPr>
        <w:t>Teorie nerovnosti a český daňový systém</w:t>
      </w:r>
    </w:p>
    <w:p w14:paraId="35028D0F" w14:textId="33E52C7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248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34DD14" w:rsidR="000E094A" w:rsidRDefault="00244F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2FD460C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426B6857" w:rsidR="000E094A" w:rsidRPr="000E094A" w:rsidRDefault="007F24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se zabývá problematikou příjmové a kapitálové nerovnosti v České republice. Hlavní cíl diplomové práce byl soubor opatření ke zmíněné příjmové a kapitálové nerovnosti. Dílčím cílem byla analýza vývoje příjmové a kapitálové nerovnosti a druhým dílčím cílem byla analýza současného daňového systému a sociálního systému</w:t>
            </w:r>
            <w:r w:rsidR="00C3336A">
              <w:rPr>
                <w:rFonts w:cstheme="minorHAnsi"/>
              </w:rPr>
              <w:t xml:space="preserve"> ve vybraných zemích. Hlavní cíl i dílčí cíle jsou srozumitelně formulovány. Hlavní metodou, která byla použita, byla analýza. Dále diplomantka použila metodu komparace. Tyto metody jsou adekvátní k vypracování této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D83EEE" w:rsidR="000E094A" w:rsidRDefault="00244F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635732E2" w:rsidR="000E094A" w:rsidRPr="000E094A" w:rsidRDefault="00C333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Problematiku daňové nerovnosti nelze zvládnout bez teoretických znalostí. V kapitole – úloha sociálního státu a vývoj daní, bylo použito dostatečné množství literatury. V kapitole </w:t>
            </w:r>
            <w:r w:rsidR="00FB4325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nerovnosti</w:t>
            </w:r>
            <w:r w:rsidR="00FB4325">
              <w:rPr>
                <w:rFonts w:cstheme="minorHAnsi"/>
              </w:rPr>
              <w:t xml:space="preserve">, je nejvíce citováno od jednoho autora </w:t>
            </w:r>
            <w:proofErr w:type="spellStart"/>
            <w:r w:rsidR="00FB4325">
              <w:rPr>
                <w:rFonts w:cstheme="minorHAnsi"/>
              </w:rPr>
              <w:t>Piketty</w:t>
            </w:r>
            <w:proofErr w:type="spellEnd"/>
            <w:r w:rsidR="00FB4325">
              <w:rPr>
                <w:rFonts w:cstheme="minorHAnsi"/>
              </w:rPr>
              <w:t>, ale byli použiti k citacím i jiní autoři, ale mohlo by jich být více. Byly použity i internetové zdroje. Citování je v pořádku.</w:t>
            </w:r>
          </w:p>
          <w:p w14:paraId="7B260597" w14:textId="77777777" w:rsidR="000E094A" w:rsidRPr="000E094A" w:rsidRDefault="000E094A" w:rsidP="00FB43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EAA8A3" w:rsidR="000E094A" w:rsidRDefault="00244F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2A2C4F1E" w:rsidR="000E094A" w:rsidRDefault="00FB43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analýzy vychází z teoretické části. Diplomantka analyzuje daňový systém a sociální systém České republiky. Hlavní část je věnována nerovnosti vzhledem k národnímu důchodu, nezaměstnanosti, sociálnímu zabezpečení</w:t>
            </w:r>
            <w:r w:rsidR="00244F9E">
              <w:rPr>
                <w:rFonts w:cstheme="minorHAnsi"/>
              </w:rPr>
              <w:t xml:space="preserve">. Stejným způsobem jsou analyzovány i ostatní země. Všechny analýzy jsou podloženy grafy a jsou dostatečné.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76A571" w:rsidR="000E094A" w:rsidRDefault="009C2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03296276" w:rsidR="000E094A" w:rsidRDefault="00244F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Výzkumná část je </w:t>
            </w:r>
            <w:r w:rsidR="005C2AD8">
              <w:rPr>
                <w:rFonts w:cstheme="minorHAnsi"/>
              </w:rPr>
              <w:t>založena hlavně na analytické části, kde diplomantka identifikovala hlavní body, které mají vliv na ekonomickou situaci společnosti. Na to navazuje soubor opatření</w:t>
            </w:r>
            <w:r w:rsidR="009C2E73">
              <w:rPr>
                <w:rFonts w:cstheme="minorHAnsi"/>
              </w:rPr>
              <w:t>. Nejdříve diplomantka porovnala míru nerovnosti v jednotlivých zemích a na základě tohoto porovnání doporučila vzájemné korigování poměru celkových daňových příjmů a výdajů na sociální zabezpečení v České republice. Navrhla rovněž vzájemné přiblížení sazba daní v rámci EU. Doporučení je krátké, ale vychází z podrobné analýzy a je výstižné. Práce splňuje svůj cíl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F1BC4E" w:rsidR="000E094A" w:rsidRDefault="009C2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70B67DAE" w:rsidR="000E094A" w:rsidRDefault="00DB17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používá správnou terminologii, správné normy citování a grafická úroveň práce je odpovídající.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C01F89" w:rsidR="009C7318" w:rsidRDefault="00DB17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C267692" w:rsidR="00386EEB" w:rsidRPr="000E094A" w:rsidRDefault="00DB173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náležitosti diplomové práce a doporučuji práci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0795F79" w:rsidR="009C7318" w:rsidRDefault="00172A5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složitost zavedení jednotné daně v Evropské Unii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264AE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72A5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72A5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C89AF1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72A5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DB3C3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72A56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FB988" w14:textId="77777777" w:rsidR="00D05AF4" w:rsidRDefault="00D05AF4" w:rsidP="00A40E93">
      <w:pPr>
        <w:spacing w:after="0" w:line="240" w:lineRule="auto"/>
      </w:pPr>
      <w:r>
        <w:separator/>
      </w:r>
    </w:p>
  </w:endnote>
  <w:endnote w:type="continuationSeparator" w:id="0">
    <w:p w14:paraId="6576CE4A" w14:textId="77777777" w:rsidR="00D05AF4" w:rsidRDefault="00D05AF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A4157" w14:textId="77777777" w:rsidR="00D05AF4" w:rsidRDefault="00D05AF4" w:rsidP="00A40E93">
      <w:pPr>
        <w:spacing w:after="0" w:line="240" w:lineRule="auto"/>
      </w:pPr>
      <w:r>
        <w:separator/>
      </w:r>
    </w:p>
  </w:footnote>
  <w:footnote w:type="continuationSeparator" w:id="0">
    <w:p w14:paraId="5A8EDE3C" w14:textId="77777777" w:rsidR="00D05AF4" w:rsidRDefault="00D05AF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72A56"/>
    <w:rsid w:val="001A3F0F"/>
    <w:rsid w:val="0024258E"/>
    <w:rsid w:val="00244F9E"/>
    <w:rsid w:val="0029651C"/>
    <w:rsid w:val="00366C75"/>
    <w:rsid w:val="00386EEB"/>
    <w:rsid w:val="003A2041"/>
    <w:rsid w:val="003C1C06"/>
    <w:rsid w:val="004D378C"/>
    <w:rsid w:val="005C2AD8"/>
    <w:rsid w:val="005C4ACA"/>
    <w:rsid w:val="0067082B"/>
    <w:rsid w:val="00694399"/>
    <w:rsid w:val="006C4198"/>
    <w:rsid w:val="0073639B"/>
    <w:rsid w:val="007553A6"/>
    <w:rsid w:val="007F2485"/>
    <w:rsid w:val="0085398A"/>
    <w:rsid w:val="008B781B"/>
    <w:rsid w:val="008E2072"/>
    <w:rsid w:val="008E6C95"/>
    <w:rsid w:val="00974EA2"/>
    <w:rsid w:val="0097798F"/>
    <w:rsid w:val="00987B93"/>
    <w:rsid w:val="009C2E73"/>
    <w:rsid w:val="009C322A"/>
    <w:rsid w:val="009C7318"/>
    <w:rsid w:val="00A40E93"/>
    <w:rsid w:val="00A7527E"/>
    <w:rsid w:val="00B14451"/>
    <w:rsid w:val="00BA16DD"/>
    <w:rsid w:val="00C02883"/>
    <w:rsid w:val="00C3336A"/>
    <w:rsid w:val="00CA34A9"/>
    <w:rsid w:val="00CC5272"/>
    <w:rsid w:val="00CD12C3"/>
    <w:rsid w:val="00D05AF4"/>
    <w:rsid w:val="00DB1731"/>
    <w:rsid w:val="00DC7D52"/>
    <w:rsid w:val="00E22423"/>
    <w:rsid w:val="00E555B3"/>
    <w:rsid w:val="00EF1720"/>
    <w:rsid w:val="00FB432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5</cp:revision>
  <cp:lastPrinted>2022-05-14T03:09:00Z</cp:lastPrinted>
  <dcterms:created xsi:type="dcterms:W3CDTF">2022-05-15T18:02:00Z</dcterms:created>
  <dcterms:modified xsi:type="dcterms:W3CDTF">2022-05-15T18:20:00Z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