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167914D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050C2A">
        <w:rPr>
          <w:rFonts w:asciiTheme="minorHAnsi" w:hAnsiTheme="minorHAnsi" w:cstheme="minorHAnsi"/>
          <w:sz w:val="22"/>
          <w:szCs w:val="22"/>
        </w:rPr>
        <w:t>Adéla Lipinská</w:t>
      </w:r>
    </w:p>
    <w:p w14:paraId="00D6BB86" w14:textId="27906073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050C2A">
        <w:rPr>
          <w:rFonts w:asciiTheme="minorHAnsi" w:hAnsiTheme="minorHAnsi" w:cstheme="minorHAnsi"/>
          <w:sz w:val="22"/>
          <w:szCs w:val="22"/>
        </w:rPr>
        <w:t>Vojtěch Sadil</w:t>
      </w:r>
    </w:p>
    <w:p w14:paraId="09E4DE65" w14:textId="562C037D" w:rsidR="0073639B" w:rsidRDefault="0073639B" w:rsidP="0073639B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050C2A" w:rsidRPr="00050C2A">
        <w:rPr>
          <w:rFonts w:cstheme="minorHAnsi"/>
        </w:rPr>
        <w:t>Využití benchmarkingu pro zlepšení finanční výkonnosti firmy podnikající v nákladní autodopravě</w:t>
      </w:r>
    </w:p>
    <w:p w14:paraId="35028D0F" w14:textId="0ABD760E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>Ak.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Content>
          <w:r w:rsidR="00050C2A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0DA7CBF0" w:rsidR="000E094A" w:rsidRDefault="00050C2A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54D27A3B" w:rsidR="008B781B" w:rsidRPr="000E094A" w:rsidRDefault="00050C2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Téma DP je vhodné pro tento typ kvalifikační práce. Cíle a metody práce byly srozumitelně formulovány. Hlavní i dílčí cíle byly vhodně stanoveny vzhledem k tématu práce i zásadám. Metody a postupy pro naplnění cílů práce jsou vhodně zvoleny</w:t>
            </w:r>
            <w:r w:rsidR="00086432">
              <w:rPr>
                <w:rFonts w:cstheme="minorHAnsi"/>
              </w:rPr>
              <w:t xml:space="preserve"> a náročnost tématu lze hodnotit jako střední.</w:t>
            </w: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59071CFF" w:rsidR="000E094A" w:rsidRDefault="000864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10AE4E5B" w:rsidR="008B781B" w:rsidRPr="000E094A" w:rsidRDefault="000864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Teoretická část je systematicky sestavena a její rozsah a struktura jsou přiměřené. Jednotlivé kapitoly na sebe navazují a literární rešerše je i přiměřeně kritická. Autorka využívá vhodně zvolené domácí i zahraniční zdroje které cituje adekvátním způsobem. Teoretické části práce by prospělo vyšší využití výzkumných článků z vědeckých časopisů, případně krátké shrnutí zjištěných poznatků.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6DFA406" w:rsidR="000E094A" w:rsidRDefault="00086432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15E3DD9" w:rsidR="000E094A" w:rsidRDefault="000864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Analytická část zahrnuje aplikaci metod finanční analýzy a výkonnostního benchmarkingu. Je zde patrná jasná návaznost na teoretickou část a jednotlivé metody zde byly vhodně aplikovány. Popis postupu aplikace metod je rovněž přehledně uveden. Autorka nejprve charakterizuje zkoumané odvětví a poté se zabývá aplikací tradičních (kap. 6) i moderních ukazatelů (kap. 7) výkonnosti. K aplikaci těchto ukazatelů nemám žádné výhrady a vyzdvihuji velmi pečlivé zpracování analytické části. Autorka zde prokázala velmi dobré analytické schopnosti.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329B1E3F" w:rsidR="000E094A" w:rsidRDefault="00FF7A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03E41EF9" w:rsidR="009C7318" w:rsidRPr="000E094A" w:rsidRDefault="00086432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Tato část práce vychází ze závěrečného zhodnocení</w:t>
            </w:r>
            <w:r w:rsidR="00FF7A09">
              <w:rPr>
                <w:rFonts w:cstheme="minorHAnsi"/>
              </w:rPr>
              <w:t xml:space="preserve"> a doporučení pro zlepšení vybrané společnosti. Návaznost na analýzy a podloženost návrhů je patrná. DP splnila stanovené cíle.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14F2C7C" w:rsidR="000E094A" w:rsidRDefault="00FF7A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63598D90" w:rsidR="000E094A" w:rsidRPr="000E094A" w:rsidRDefault="00FF7A0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Formální úroveň práce splňuje požadavky na tento typ kvalifikačních prací. Autorka využívá správnou terminologii a jsou zde využity předepsané normy citování.</w:t>
            </w: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AD65443" w:rsidR="009C7318" w:rsidRDefault="00FF7A0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3A55DF" w14:textId="77777777" w:rsidR="00386EEB" w:rsidRDefault="00386EEB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4E850" w14:textId="586B6344" w:rsidR="00FF7A09" w:rsidRDefault="00FF7A0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Diplomová práce je poctivě a pečlivě zpracovaná a zcela splňuje kritéria pro obhajobu. Jedná se spíše o klasické téma nicméně náročnost tohoto tématu spočívá především ve velkém množství analytických a finančních výpočtů a zpracování velkého množství dat. Studentka DP pravidelně konzultovala a jednotlivé dotazy a připomínky ze strany vedoucího byly zapracovány a vysvětleny. Z tohoto důvodu nemám žádnou otázku k obhajobě. Vzhledem k vysoké úrovni analytické části a k absenci vážnějších výhrad k DP jako celku, navrhuji známku A.</w:t>
            </w:r>
          </w:p>
          <w:p w14:paraId="3AF75153" w14:textId="1A8C5F43" w:rsidR="00FF7A09" w:rsidRPr="000E094A" w:rsidRDefault="00FF7A0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542FC243" w:rsidR="009C7318" w:rsidRDefault="00FF7A09" w:rsidP="00FF7A0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  <w:r>
        <w:rPr>
          <w:rFonts w:cstheme="minorHAnsi"/>
        </w:rPr>
        <w:t>Bez dotazu</w:t>
      </w:r>
    </w:p>
    <w:p w14:paraId="55DA52BC" w14:textId="487E0F3B" w:rsidR="005C4ACA" w:rsidRDefault="005C4ACA" w:rsidP="00FF7A0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1991DEDB" w14:textId="271B2F97" w:rsidR="005C4ACA" w:rsidRPr="005C4ACA" w:rsidRDefault="005C4ACA" w:rsidP="00FF7A09">
      <w:pPr>
        <w:pStyle w:val="Odstavecseseznamem"/>
        <w:spacing w:after="120" w:line="240" w:lineRule="auto"/>
        <w:ind w:left="714"/>
        <w:contextualSpacing w:val="0"/>
        <w:jc w:val="both"/>
        <w:rPr>
          <w:rFonts w:cstheme="minorHAnsi"/>
        </w:rPr>
      </w:pP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7B42018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Content>
          <w:r w:rsidR="00EC123A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Content>
          <w:r w:rsidR="00EC123A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4888A6E1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Content>
          <w:r w:rsidR="00EC123A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343EFC3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4-24T00:00:00Z">
            <w:dateFormat w:val="dd.MM.yyyy"/>
            <w:lid w:val="cs-CZ"/>
            <w:storeMappedDataAs w:val="dateTime"/>
            <w:calendar w:val="gregorian"/>
          </w:date>
        </w:sdtPr>
        <w:sdtContent>
          <w:r w:rsidR="00EC123A">
            <w:rPr>
              <w:rFonts w:cstheme="minorHAnsi"/>
            </w:rPr>
            <w:t>24.04.2024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F85B9A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F7F28" w14:textId="77777777" w:rsidR="00F85B9A" w:rsidRDefault="00F85B9A" w:rsidP="00A40E93">
      <w:pPr>
        <w:spacing w:after="0" w:line="240" w:lineRule="auto"/>
      </w:pPr>
      <w:r>
        <w:separator/>
      </w:r>
    </w:p>
  </w:endnote>
  <w:endnote w:type="continuationSeparator" w:id="0">
    <w:p w14:paraId="4442DDD5" w14:textId="77777777" w:rsidR="00F85B9A" w:rsidRDefault="00F85B9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198500" w14:textId="77777777" w:rsidR="00F85B9A" w:rsidRDefault="00F85B9A" w:rsidP="00A40E93">
      <w:pPr>
        <w:spacing w:after="0" w:line="240" w:lineRule="auto"/>
      </w:pPr>
      <w:r>
        <w:separator/>
      </w:r>
    </w:p>
  </w:footnote>
  <w:footnote w:type="continuationSeparator" w:id="0">
    <w:p w14:paraId="163BC750" w14:textId="77777777" w:rsidR="00F85B9A" w:rsidRDefault="00F85B9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0240090">
    <w:abstractNumId w:val="0"/>
  </w:num>
  <w:num w:numId="2" w16cid:durableId="1867327638">
    <w:abstractNumId w:val="3"/>
  </w:num>
  <w:num w:numId="3" w16cid:durableId="1840189519">
    <w:abstractNumId w:val="2"/>
  </w:num>
  <w:num w:numId="4" w16cid:durableId="995306784">
    <w:abstractNumId w:val="1"/>
  </w:num>
  <w:num w:numId="5" w16cid:durableId="7706679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50C2A"/>
    <w:rsid w:val="00086432"/>
    <w:rsid w:val="000A3023"/>
    <w:rsid w:val="000C0458"/>
    <w:rsid w:val="000E094A"/>
    <w:rsid w:val="00144F5B"/>
    <w:rsid w:val="001A20C4"/>
    <w:rsid w:val="001A3F0F"/>
    <w:rsid w:val="0024258E"/>
    <w:rsid w:val="0029651C"/>
    <w:rsid w:val="002D6FF7"/>
    <w:rsid w:val="00337C0B"/>
    <w:rsid w:val="00366C75"/>
    <w:rsid w:val="00386EEB"/>
    <w:rsid w:val="003A2041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74EA2"/>
    <w:rsid w:val="0097798F"/>
    <w:rsid w:val="00987B93"/>
    <w:rsid w:val="009C29C7"/>
    <w:rsid w:val="009C322A"/>
    <w:rsid w:val="009C7318"/>
    <w:rsid w:val="00A40E93"/>
    <w:rsid w:val="00A7527E"/>
    <w:rsid w:val="00B14451"/>
    <w:rsid w:val="00BA16DD"/>
    <w:rsid w:val="00C02883"/>
    <w:rsid w:val="00CA34A9"/>
    <w:rsid w:val="00CC5272"/>
    <w:rsid w:val="00CD12C3"/>
    <w:rsid w:val="00DC7D52"/>
    <w:rsid w:val="00E22423"/>
    <w:rsid w:val="00E60843"/>
    <w:rsid w:val="00EC123A"/>
    <w:rsid w:val="00EF1720"/>
    <w:rsid w:val="00F85B9A"/>
    <w:rsid w:val="00FC2852"/>
    <w:rsid w:val="00FF7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83027D"/>
    <w:rsid w:val="00A00291"/>
    <w:rsid w:val="00F84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655</Words>
  <Characters>3867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Vojtěch Sadil</cp:lastModifiedBy>
  <cp:revision>5</cp:revision>
  <cp:lastPrinted>2022-03-14T11:55:00Z</cp:lastPrinted>
  <dcterms:created xsi:type="dcterms:W3CDTF">2024-04-24T08:17:00Z</dcterms:created>
  <dcterms:modified xsi:type="dcterms:W3CDTF">2024-04-24T08:48:00Z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