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559AAF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C24B0">
        <w:rPr>
          <w:rFonts w:asciiTheme="minorHAnsi" w:hAnsiTheme="minorHAnsi" w:cstheme="minorHAnsi"/>
          <w:sz w:val="22"/>
          <w:szCs w:val="22"/>
        </w:rPr>
        <w:t>Milan Šmejkal</w:t>
      </w:r>
    </w:p>
    <w:p w14:paraId="7BEB1D07" w14:textId="59C0E2D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EC24B0">
        <w:rPr>
          <w:rFonts w:asciiTheme="minorHAnsi" w:hAnsiTheme="minorHAnsi" w:cstheme="minorHAnsi"/>
          <w:sz w:val="22"/>
          <w:szCs w:val="22"/>
        </w:rPr>
        <w:t xml:space="preserve"> Vojtěch Sadil</w:t>
      </w:r>
    </w:p>
    <w:p w14:paraId="05C5954D" w14:textId="11657846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C24B0" w:rsidRPr="00EC24B0">
        <w:rPr>
          <w:rFonts w:cstheme="minorHAnsi"/>
        </w:rPr>
        <w:t>Digitální měny centrálních bank – teorie a praxe</w:t>
      </w:r>
    </w:p>
    <w:p w14:paraId="07FD52EA" w14:textId="537FC3F9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C24B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1DABCFE" w:rsidR="000E094A" w:rsidRDefault="00EC24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62A4FBB5" w:rsidR="000E094A" w:rsidRPr="000E094A" w:rsidRDefault="00EC24B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práce je formulován srozumitelně. Autor k dosažení tohoto cíle využívá vhodné metody, které jsou dostatečně představeny. Téma práce a její hlavní cíl jsou v souladu se zásadami této BP. Autor si zvolil velmi aktuální a originální téma.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FCCD589" w:rsidR="000E094A" w:rsidRDefault="005A66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2413BD8F" w:rsidR="000E094A" w:rsidRPr="000E094A" w:rsidRDefault="00EC24B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Kladně hodnotím vhodně zvolené domácí i zahraniční zdroje, které autor v literární rešerši využívá (především v kapitole 3). Avšak literární rešerše je spíše povrchní. Je to patrné na kapitole 1, kdy autor </w:t>
            </w:r>
            <w:r w:rsidR="00DE6D5D">
              <w:rPr>
                <w:rFonts w:cstheme="minorHAnsi"/>
              </w:rPr>
              <w:t xml:space="preserve">výrazně </w:t>
            </w:r>
            <w:r>
              <w:rPr>
                <w:rFonts w:cstheme="minorHAnsi"/>
              </w:rPr>
              <w:t xml:space="preserve">nadužívá zdroj Jílek (2013) a Revenda (2011). Literární rešerše </w:t>
            </w:r>
            <w:r w:rsidR="00DE6D5D">
              <w:rPr>
                <w:rFonts w:cstheme="minorHAnsi"/>
              </w:rPr>
              <w:t xml:space="preserve">tak </w:t>
            </w:r>
            <w:r>
              <w:rPr>
                <w:rFonts w:cstheme="minorHAnsi"/>
              </w:rPr>
              <w:t>není příliš kritická, například v kapitole 1 mohlo být uvedeno více pohledů na konvenční peníze, a to například optikou antropologie, filozofie, mezinárodních vztahů</w:t>
            </w:r>
            <w:r w:rsidR="001231F6">
              <w:rPr>
                <w:rFonts w:cstheme="minorHAnsi"/>
              </w:rPr>
              <w:t>, historie</w:t>
            </w:r>
            <w:r>
              <w:rPr>
                <w:rFonts w:cstheme="minorHAnsi"/>
              </w:rPr>
              <w:t xml:space="preserve"> či alternativních směrů ekonomického myšlení.</w:t>
            </w:r>
            <w:r w:rsidR="00DE6D5D">
              <w:rPr>
                <w:rFonts w:cstheme="minorHAnsi"/>
              </w:rPr>
              <w:t xml:space="preserve"> Literární rešerše v případě tohoto tématu je velmi zásadní, zde však působí neúplně. </w:t>
            </w:r>
            <w:r>
              <w:rPr>
                <w:rFonts w:cstheme="minorHAnsi"/>
              </w:rPr>
              <w:t>Stejn</w:t>
            </w:r>
            <w:r w:rsidR="00DE6D5D">
              <w:rPr>
                <w:rFonts w:cstheme="minorHAnsi"/>
              </w:rPr>
              <w:t xml:space="preserve">é výhrady </w:t>
            </w:r>
            <w:r>
              <w:rPr>
                <w:rFonts w:cstheme="minorHAnsi"/>
              </w:rPr>
              <w:t>mám i ke kapitole 2. Kladně hodnotím kapitolu 3, kde autor využil velmi dobrý přístup k</w:t>
            </w:r>
            <w:r w:rsidR="001231F6">
              <w:rPr>
                <w:rFonts w:cstheme="minorHAnsi"/>
              </w:rPr>
              <w:t> definici CBDC (peněžní taxonomii). Autor cituje literární zdroje adekvátním způsobem.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1FDFD5D" w:rsidR="000E094A" w:rsidRDefault="00E73D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CFD79C2" w:rsidR="000E094A" w:rsidRPr="000E094A" w:rsidRDefault="001231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má patrnou návaznost na teoretickou část. Autor nejprve představuje současný stav CBDC ve světe, a to na příkladu několika zemí, včetně ČR. Kladně hodnotím využité literární zdroje, autor zde musel vycházet především ze zahraničních zdrojů. Drobnou výhradu mám k aktuálnosti zdrojů, většina uvedených studií a zdrojů je z roku 2021, přičemž se domnívám, že bylo možné vyhledat i aktuální zdroje či články na dané téma. V kapitole 5 autor představuje různé přístupy k implementaci CBDC</w:t>
            </w:r>
            <w:r w:rsidR="00E73D68">
              <w:rPr>
                <w:rFonts w:cstheme="minorHAnsi"/>
              </w:rPr>
              <w:t>, včetně infrastruktury a přístupového řešení. Tuto kapitolu hodnotím jako kvalitně zpracovanou. Kapitola 6 uvádí pozitiva a negativa implementace CBDC. Podkapitola s negativními dopady mohla být obsáhlejší (např. zmínkou o politických či technologických rizicích CBDC).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EA3C4E1" w:rsidR="000E094A" w:rsidRDefault="00DE6D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5CBD9AA" w:rsidR="000E094A" w:rsidRPr="000E094A" w:rsidRDefault="00E73D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Výstupem z této bakalářské práce je „</w:t>
            </w:r>
            <w:r w:rsidRPr="00E73D68">
              <w:rPr>
                <w:rFonts w:cstheme="minorHAnsi"/>
              </w:rPr>
              <w:t>zformulování uceleného přehledu o problematice digitálních měn centrálních bank a jejich významu v moderním finančním systému</w:t>
            </w:r>
            <w:r>
              <w:rPr>
                <w:rFonts w:cstheme="minorHAnsi"/>
              </w:rPr>
              <w:t xml:space="preserve">“. Tento cíl lze označit za splněný. Dle mého pohledu však není zcela </w:t>
            </w:r>
            <w:r w:rsidR="00DE6D5D">
              <w:rPr>
                <w:rFonts w:cstheme="minorHAnsi"/>
              </w:rPr>
              <w:t>splněna</w:t>
            </w:r>
            <w:r>
              <w:rPr>
                <w:rFonts w:cstheme="minorHAnsi"/>
              </w:rPr>
              <w:t xml:space="preserve"> zásada: </w:t>
            </w:r>
            <w:r w:rsidR="00DE6D5D">
              <w:rPr>
                <w:rFonts w:cstheme="minorHAnsi"/>
              </w:rPr>
              <w:t>„</w:t>
            </w:r>
            <w:r>
              <w:rPr>
                <w:rFonts w:cstheme="minorHAnsi"/>
              </w:rPr>
              <w:t>Analyzujte příčiny a dopady implementace digitálních měn centrálních bank ve vztahu k ekonomice.</w:t>
            </w:r>
            <w:r w:rsidR="00DE6D5D">
              <w:rPr>
                <w:rFonts w:cstheme="minorHAnsi"/>
              </w:rPr>
              <w:t>“</w:t>
            </w:r>
            <w:r>
              <w:rPr>
                <w:rFonts w:cstheme="minorHAnsi"/>
              </w:rPr>
              <w:t xml:space="preserve"> Zachycení tohoto vztahu mezi CDBD a ekonomikou by vydalo na minimálně další výzkumnou práci a dopady implementace CBDC bude ekonomická věda schopna vyhodnotit až s odstupem času.</w:t>
            </w:r>
            <w:r w:rsidR="00DE6D5D">
              <w:rPr>
                <w:rFonts w:cstheme="minorHAnsi"/>
              </w:rPr>
              <w:t xml:space="preserve"> Tato zásada působí v BP nadbytečně. Autor mohl více rozvést diskusi zjištěných poznatků a také představit vlastní pohled či názor na tuto problematiku.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F5166CF" w:rsidR="000E094A" w:rsidRDefault="00DE6D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5BBF0CB" w:rsidR="000E094A" w:rsidRPr="000E094A" w:rsidRDefault="00DE6D5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Nemám žádné zásadní připomínky k formální úrovni bakalářské práce. Autor využívá předepsanou normu citování.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C2182A3" w:rsidR="009C7318" w:rsidRDefault="00DE6D5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08D34D57" w14:textId="430259B0" w:rsidR="00DE6D5D" w:rsidRPr="000E094A" w:rsidRDefault="00DE6D5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Bakalářskou práci doporučuji k obhajobě a navrhuji celkovou známku C. </w:t>
            </w:r>
            <w:r w:rsidR="000A2E4D">
              <w:rPr>
                <w:rFonts w:cstheme="minorHAnsi"/>
              </w:rPr>
              <w:t xml:space="preserve">Teoretická část práce je dle mého pohledu slabší, analytická část je zpracována na dobré úrovni. </w:t>
            </w:r>
            <w:r>
              <w:rPr>
                <w:rFonts w:cstheme="minorHAnsi"/>
              </w:rPr>
              <w:t xml:space="preserve">Prosím autora o zodpovězení níže </w:t>
            </w:r>
            <w:r w:rsidR="000A2E4D">
              <w:rPr>
                <w:rFonts w:cstheme="minorHAnsi"/>
              </w:rPr>
              <w:t>uvedeného dotazu.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991DEDB" w14:textId="5F0AD215" w:rsidR="005C4ACA" w:rsidRPr="000A2E4D" w:rsidRDefault="00DE6D5D" w:rsidP="000A2E4D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</w:t>
      </w:r>
      <w:r w:rsidR="000A2E4D">
        <w:rPr>
          <w:rFonts w:cstheme="minorHAnsi"/>
        </w:rPr>
        <w:t xml:space="preserve"> prosím</w:t>
      </w:r>
      <w:r>
        <w:rPr>
          <w:rFonts w:cstheme="minorHAnsi"/>
        </w:rPr>
        <w:t>, co jsou to tzv. dronové peníze</w:t>
      </w:r>
      <w:r w:rsidR="000A2E4D">
        <w:rPr>
          <w:rFonts w:cstheme="minorHAnsi"/>
        </w:rPr>
        <w:t xml:space="preserve"> (dron money)</w:t>
      </w:r>
      <w:r>
        <w:rPr>
          <w:rFonts w:cstheme="minorHAnsi"/>
        </w:rPr>
        <w:t>, jak souvisí s problematikou CBDC a jakým způsobem by mohly rozšířit instrumentárium centrálních bank v rámci monetární politiky.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76336A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A2E4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A2E4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746431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A2E4D">
            <w:rPr>
              <w:rFonts w:cstheme="minorHAnsi"/>
            </w:rPr>
            <w:t>26.05.2024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2D653" w14:textId="77777777" w:rsidR="0078421B" w:rsidRDefault="0078421B" w:rsidP="00A40E93">
      <w:pPr>
        <w:spacing w:after="0" w:line="240" w:lineRule="auto"/>
      </w:pPr>
      <w:r>
        <w:separator/>
      </w:r>
    </w:p>
  </w:endnote>
  <w:endnote w:type="continuationSeparator" w:id="0">
    <w:p w14:paraId="060F12C5" w14:textId="77777777" w:rsidR="0078421B" w:rsidRDefault="0078421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87DD3" w14:textId="77777777" w:rsidR="0078421B" w:rsidRDefault="0078421B" w:rsidP="00A40E93">
      <w:pPr>
        <w:spacing w:after="0" w:line="240" w:lineRule="auto"/>
      </w:pPr>
      <w:r>
        <w:separator/>
      </w:r>
    </w:p>
  </w:footnote>
  <w:footnote w:type="continuationSeparator" w:id="0">
    <w:p w14:paraId="452B8429" w14:textId="77777777" w:rsidR="0078421B" w:rsidRDefault="0078421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A2E4D"/>
    <w:rsid w:val="000E094A"/>
    <w:rsid w:val="00112356"/>
    <w:rsid w:val="001231F6"/>
    <w:rsid w:val="00164BC0"/>
    <w:rsid w:val="0024258E"/>
    <w:rsid w:val="0029651C"/>
    <w:rsid w:val="002C3993"/>
    <w:rsid w:val="00402989"/>
    <w:rsid w:val="004A5DA6"/>
    <w:rsid w:val="004C6693"/>
    <w:rsid w:val="004D378C"/>
    <w:rsid w:val="005A3B4A"/>
    <w:rsid w:val="005A66B6"/>
    <w:rsid w:val="005C4ACA"/>
    <w:rsid w:val="0067082B"/>
    <w:rsid w:val="00694399"/>
    <w:rsid w:val="006A6A86"/>
    <w:rsid w:val="0073639B"/>
    <w:rsid w:val="007553A6"/>
    <w:rsid w:val="0078421B"/>
    <w:rsid w:val="007F1BC8"/>
    <w:rsid w:val="0085398A"/>
    <w:rsid w:val="008A2DC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27492"/>
    <w:rsid w:val="00CA34A9"/>
    <w:rsid w:val="00CD12C3"/>
    <w:rsid w:val="00CE55BD"/>
    <w:rsid w:val="00DC7D52"/>
    <w:rsid w:val="00DE6D5D"/>
    <w:rsid w:val="00E22423"/>
    <w:rsid w:val="00E73D68"/>
    <w:rsid w:val="00E7633F"/>
    <w:rsid w:val="00EC24B0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F244C"/>
    <w:rsid w:val="004A5DA6"/>
    <w:rsid w:val="004F0CF4"/>
    <w:rsid w:val="00510546"/>
    <w:rsid w:val="005E083B"/>
    <w:rsid w:val="008A2DCA"/>
    <w:rsid w:val="00986CC7"/>
    <w:rsid w:val="00A7255F"/>
    <w:rsid w:val="00CD761B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2024-05-27T15:59:00Z</dcterms:created>
  <dcterms:modified xsi:type="dcterms:W3CDTF">2024-05-27T15:59:00Z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