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9EFB338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3281E" w:rsidRPr="00A3281E">
        <w:rPr>
          <w:rFonts w:asciiTheme="minorHAnsi" w:hAnsiTheme="minorHAnsi" w:cstheme="minorHAnsi"/>
          <w:sz w:val="22"/>
          <w:szCs w:val="22"/>
        </w:rPr>
        <w:t>Bc. Adriana Goldbachová</w:t>
      </w:r>
    </w:p>
    <w:p w14:paraId="00D6BB86" w14:textId="290C777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A3281E">
        <w:rPr>
          <w:rFonts w:asciiTheme="minorHAnsi" w:hAnsiTheme="minorHAnsi" w:cstheme="minorHAnsi"/>
          <w:sz w:val="22"/>
          <w:szCs w:val="22"/>
        </w:rPr>
        <w:t>Ing. Lubor Homolka, Ph.D.</w:t>
      </w:r>
    </w:p>
    <w:p w14:paraId="09E4DE65" w14:textId="3F1FD54C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3281E" w:rsidRPr="00A3281E">
        <w:rPr>
          <w:rFonts w:cstheme="minorHAnsi"/>
        </w:rPr>
        <w:t>Projekt zlepšení řízení rizik ve vybrané obchodní</w:t>
      </w:r>
      <w:r w:rsidR="00413EF2">
        <w:rPr>
          <w:rFonts w:cstheme="minorHAnsi"/>
        </w:rPr>
        <w:t xml:space="preserve"> firmě</w:t>
      </w:r>
    </w:p>
    <w:p w14:paraId="35028D0F" w14:textId="09A05D03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3281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ED85994" w14:textId="77777777" w:rsidR="00B136A0" w:rsidRPr="00B136A0" w:rsidRDefault="00B136A0" w:rsidP="00B136A0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B136A0">
        <w:rPr>
          <w:rFonts w:cstheme="minorHAnsi"/>
          <w:i/>
          <w:sz w:val="20"/>
        </w:rPr>
        <w:t>U hodnocení jednotlivých kritérií použijte následující stupnici: A – splněno výborně bez výhrad, B – splněno velmi dobře s drobnými připomínkami, C – splněno průměrně, D – splněno s nedostatky, E – splněno, ale s výraznými nedostatky, F – nesplněno.</w:t>
      </w:r>
    </w:p>
    <w:p w14:paraId="2604D598" w14:textId="2282F938" w:rsidR="00CC5272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F936A5A" w:rsidR="000E094A" w:rsidRDefault="00571A9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E22E0C8" w:rsidR="000E094A" w:rsidRPr="000E094A" w:rsidRDefault="00413EF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Předložená práce má jasně uvedené cíle a popsané metody zpracování. Informace využité pro identifikaci rizik a jejich ošetření byla sesbírána na základě rozhovorů a následně analyzována standardními nástroji risk managementu. </w:t>
            </w:r>
            <w:r w:rsidRPr="00413EF2">
              <w:rPr>
                <w:rFonts w:cstheme="minorHAnsi"/>
              </w:rPr>
              <w:t xml:space="preserve">Z mého pohledu </w:t>
            </w:r>
            <w:r>
              <w:rPr>
                <w:rFonts w:cstheme="minorHAnsi"/>
              </w:rPr>
              <w:t>je vzhledem</w:t>
            </w:r>
            <w:r w:rsidRPr="00413EF2">
              <w:rPr>
                <w:rFonts w:cstheme="minorHAnsi"/>
              </w:rPr>
              <w:t xml:space="preserve"> k situaci ve firmě (vztah mateřské a dceřiné společnosti) </w:t>
            </w:r>
            <w:r>
              <w:rPr>
                <w:rFonts w:cstheme="minorHAnsi"/>
              </w:rPr>
              <w:t>tento přístup vhodný.</w:t>
            </w:r>
            <w:r w:rsidR="00571A90">
              <w:rPr>
                <w:rFonts w:cstheme="minorHAnsi"/>
              </w:rPr>
              <w:t xml:space="preserve"> Cíle práce byly dosaženy, jelikož práce předkládá ucelenou analýzu a nový přístup k systematickému řízení rizik ve vybrané společnosti. Práce obsahuje standardní metody a nevěnuje se například ekonometrické analýze tržeb, či Monte Carlo simulacím pro popis neurčitosti, proto ji hodnotím </w:t>
            </w:r>
            <w:r w:rsidR="004C23F4">
              <w:rPr>
                <w:rFonts w:cstheme="minorHAnsi"/>
              </w:rPr>
              <w:t>stupněm B.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2AC2038" w:rsidR="000E094A" w:rsidRDefault="00C9748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4EFE557" w:rsidR="000E094A" w:rsidRPr="000E094A" w:rsidRDefault="007B441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B4411">
              <w:rPr>
                <w:rFonts w:cstheme="minorHAnsi"/>
              </w:rPr>
              <w:t xml:space="preserve">Teoretická část práce </w:t>
            </w:r>
            <w:r>
              <w:rPr>
                <w:rFonts w:cstheme="minorHAnsi"/>
              </w:rPr>
              <w:t xml:space="preserve">korektně definuje pojmy a metody, které jsou využity v praktické části. Oceňuji systematický přístup vycházející z normy ISO 31000:2018 a méně známé/využívané </w:t>
            </w:r>
            <w:r w:rsidRPr="007B4411">
              <w:rPr>
                <w:rFonts w:cstheme="minorHAnsi"/>
              </w:rPr>
              <w:t>ISO 31010:2019</w:t>
            </w:r>
            <w:r>
              <w:rPr>
                <w:rFonts w:cstheme="minorHAnsi"/>
              </w:rPr>
              <w:t xml:space="preserve">, ve které jsou popsány vhodné metody pro každou části rizikového procesu. Literární rešerše vychází z domácí i zahraniční literatury. Zdroje jsou správně citovány. Literární rešerše sice nepřináší nové poznatky (např. rizika využití AI apod.), tato skutečnost je ale dána potřebami společnosti, </w:t>
            </w:r>
            <w:r w:rsidR="00550BB5">
              <w:rPr>
                <w:rFonts w:cstheme="minorHAnsi"/>
              </w:rPr>
              <w:t>pro kterou je projekt připraven.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6CCB00D" w:rsidR="000E094A" w:rsidRDefault="00D468B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3C038A8A" w:rsidR="000E094A" w:rsidRPr="000E094A" w:rsidRDefault="00557C6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vychází z teoretické části. V úvodu praktické části je představena společnost, produkty a finanční pozice. Kapitola hodnocení rizik se vztahuje jak ke strategickým, tak operačním rizikům. U strategických rizik oceňuji kvalitativní analýzu scénářů. </w:t>
            </w:r>
            <w:r w:rsidR="00C45C56">
              <w:rPr>
                <w:rFonts w:cstheme="minorHAnsi"/>
              </w:rPr>
              <w:t xml:space="preserve">Operativní rizika jsou analyzována na základě </w:t>
            </w:r>
            <w:r w:rsidR="00C45C56" w:rsidRPr="00D507EE">
              <w:rPr>
                <w:rFonts w:cstheme="minorHAnsi"/>
                <w:i/>
                <w:iCs/>
              </w:rPr>
              <w:t xml:space="preserve">Risk priority </w:t>
            </w:r>
            <w:proofErr w:type="spellStart"/>
            <w:r w:rsidR="00C45C56" w:rsidRPr="00D507EE">
              <w:rPr>
                <w:rFonts w:cstheme="minorHAnsi"/>
                <w:i/>
                <w:iCs/>
              </w:rPr>
              <w:t>number</w:t>
            </w:r>
            <w:proofErr w:type="spellEnd"/>
            <w:r w:rsidR="00C45C56">
              <w:rPr>
                <w:rFonts w:cstheme="minorHAnsi"/>
              </w:rPr>
              <w:t xml:space="preserve"> přístupu</w:t>
            </w:r>
            <w:r w:rsidR="00F9188B">
              <w:t xml:space="preserve"> </w:t>
            </w:r>
            <w:r w:rsidR="00F9188B" w:rsidRPr="00F9188B">
              <w:rPr>
                <w:rFonts w:cstheme="minorHAnsi"/>
              </w:rPr>
              <w:t>U operativních rizik došlo k zakreslení do matice rizik s vyznačeným rizikovým profilem organizace</w:t>
            </w:r>
            <w:r w:rsidR="00F9188B">
              <w:rPr>
                <w:rFonts w:cstheme="minorHAnsi"/>
              </w:rPr>
              <w:t xml:space="preserve">. Oceňuji využití klasifikace </w:t>
            </w:r>
            <w:proofErr w:type="gramStart"/>
            <w:r w:rsidR="00F9188B">
              <w:rPr>
                <w:rFonts w:cstheme="minorHAnsi"/>
              </w:rPr>
              <w:t>4T</w:t>
            </w:r>
            <w:proofErr w:type="gramEnd"/>
            <w:r w:rsidR="00F9188B">
              <w:rPr>
                <w:rFonts w:cstheme="minorHAnsi"/>
              </w:rPr>
              <w:t xml:space="preserve"> pro návrh druhu opatření ošetření rizika.</w:t>
            </w:r>
            <w:r w:rsidR="00D507EE">
              <w:rPr>
                <w:rFonts w:cstheme="minorHAnsi"/>
              </w:rPr>
              <w:t xml:space="preserve"> Jako dílčí nepřesnost vnímám zařazení o</w:t>
            </w:r>
            <w:r w:rsidR="00C45C56">
              <w:rPr>
                <w:rFonts w:cstheme="minorHAnsi"/>
              </w:rPr>
              <w:t>rganizační struktur</w:t>
            </w:r>
            <w:r w:rsidR="00D507EE">
              <w:rPr>
                <w:rFonts w:cstheme="minorHAnsi"/>
              </w:rPr>
              <w:t xml:space="preserve">y vztahující se k řízení rizik </w:t>
            </w:r>
            <w:r w:rsidR="00F26035">
              <w:rPr>
                <w:rFonts w:cstheme="minorHAnsi"/>
              </w:rPr>
              <w:t xml:space="preserve">až za </w:t>
            </w:r>
            <w:r w:rsidR="00C45C56">
              <w:rPr>
                <w:rFonts w:cstheme="minorHAnsi"/>
              </w:rPr>
              <w:t>SWOT analýzu.</w:t>
            </w:r>
            <w:r w:rsidR="00D468BB">
              <w:rPr>
                <w:rFonts w:cstheme="minorHAnsi"/>
              </w:rPr>
              <w:t xml:space="preserve"> Hodnocení</w:t>
            </w:r>
            <w:r w:rsidR="00D468BB" w:rsidRPr="00D468BB">
              <w:rPr>
                <w:rFonts w:cstheme="minorHAnsi"/>
              </w:rPr>
              <w:t xml:space="preserve"> A bych </w:t>
            </w:r>
            <w:r w:rsidR="00D468BB">
              <w:rPr>
                <w:rFonts w:cstheme="minorHAnsi"/>
              </w:rPr>
              <w:t>přidělil, kdyby</w:t>
            </w:r>
            <w:r w:rsidR="00D468BB" w:rsidRPr="00D468BB">
              <w:rPr>
                <w:rFonts w:cstheme="minorHAnsi"/>
              </w:rPr>
              <w:t xml:space="preserve"> </w:t>
            </w:r>
            <w:r w:rsidR="00D468BB">
              <w:rPr>
                <w:rFonts w:cstheme="minorHAnsi"/>
              </w:rPr>
              <w:t>byly provedeny již dříve</w:t>
            </w:r>
            <w:r w:rsidR="00D468BB" w:rsidRPr="00D468BB">
              <w:rPr>
                <w:rFonts w:cstheme="minorHAnsi"/>
              </w:rPr>
              <w:t xml:space="preserve"> zmíněn</w:t>
            </w:r>
            <w:r w:rsidR="00D468BB">
              <w:rPr>
                <w:rFonts w:cstheme="minorHAnsi"/>
              </w:rPr>
              <w:t>é</w:t>
            </w:r>
            <w:r w:rsidR="00D468BB" w:rsidRPr="00D468BB">
              <w:rPr>
                <w:rFonts w:cstheme="minorHAnsi"/>
              </w:rPr>
              <w:t xml:space="preserve"> </w:t>
            </w:r>
            <w:r w:rsidR="00D468BB">
              <w:rPr>
                <w:rFonts w:cstheme="minorHAnsi"/>
              </w:rPr>
              <w:t xml:space="preserve">ekonometrické </w:t>
            </w:r>
            <w:r w:rsidR="00D468BB" w:rsidRPr="00D468BB">
              <w:rPr>
                <w:rFonts w:cstheme="minorHAnsi"/>
              </w:rPr>
              <w:t>analýz</w:t>
            </w:r>
            <w:r w:rsidR="00D468BB">
              <w:rPr>
                <w:rFonts w:cstheme="minorHAnsi"/>
              </w:rPr>
              <w:t>y.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87226D7" w:rsidR="000E094A" w:rsidRDefault="00017B6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658F5A85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3D8BCD4" w:rsidR="000E094A" w:rsidRDefault="00F9188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vychází z analytické části a věnuje se vybraným rizikům, která byly dříve identifikovány jako nejdůležitější. Navržený systém řízení vychází z</w:t>
            </w:r>
            <w:r w:rsidRPr="00F9188B">
              <w:rPr>
                <w:rFonts w:cstheme="minorHAnsi"/>
              </w:rPr>
              <w:t xml:space="preserve"> konceptu PDCA, přičemž jsou představeny Klíčové rizikové identifikátory.</w:t>
            </w:r>
            <w:r>
              <w:rPr>
                <w:rFonts w:cstheme="minorHAnsi"/>
              </w:rPr>
              <w:t xml:space="preserve"> Projektová část je ukončena </w:t>
            </w:r>
            <w:r w:rsidR="00D468BB">
              <w:rPr>
                <w:rFonts w:cstheme="minorHAnsi"/>
              </w:rPr>
              <w:t xml:space="preserve">detailní časovou a nákladovou analýzou. </w:t>
            </w:r>
            <w:r w:rsidR="00017B64">
              <w:rPr>
                <w:rFonts w:cstheme="minorHAnsi"/>
              </w:rPr>
              <w:t>V přílohách práce je poté uvedena dokumentace (Rejstřík rizik a monitorovací tabulky), které budou využívány společností.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7468322" w:rsidR="000E094A" w:rsidRDefault="00017B6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30196E5D" w:rsidR="000E094A" w:rsidRPr="000E094A" w:rsidRDefault="00D468B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Formální </w:t>
            </w:r>
            <w:r w:rsidR="00017B64">
              <w:rPr>
                <w:rFonts w:cstheme="minorHAnsi"/>
              </w:rPr>
              <w:t>stránka odpovídá úrovni diplomové práce. Terminologie je správně využita, grafy a tabulky jsou přehledné. Nenarazil na nesoulad s předepsanou normou citování.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1A7F207" w:rsidR="009C7318" w:rsidRDefault="00BB3B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4EF44326" w:rsidR="00BB3BE6" w:rsidRPr="000E094A" w:rsidRDefault="00017B64" w:rsidP="00BB3BE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Práci hodnotím kladně i s ohledem na způsob práce </w:t>
            </w:r>
            <w:r w:rsidR="00BB3BE6">
              <w:rPr>
                <w:rFonts w:cstheme="minorHAnsi"/>
              </w:rPr>
              <w:t xml:space="preserve">autorky. Provedení analýzy byl nelehký úkol vzhledem k obtížnému sběru dat a jeho interpretaci (citlivost dílčích informací). Představený projekt řízení rizik vychází ze současného stavu a představuje taková opatření, která jsou realisticky dosažitelná. Téma podnikového risk managementu není zcela nové a existuje dostatečná literatura. Práce splňuje zásady a cíle práce, nicméně pro hodnocení A by mohla jít ještě hlouběji v analytické části.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3128B4D1" w14:textId="2F830997" w:rsidR="0085398A" w:rsidRPr="00AE613F" w:rsidRDefault="00BB3BE6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AE613F">
        <w:rPr>
          <w:rFonts w:cstheme="minorHAnsi"/>
        </w:rPr>
        <w:t xml:space="preserve">V práci jste jako </w:t>
      </w:r>
      <w:r w:rsidR="00DC37C2" w:rsidRPr="00AE613F">
        <w:rPr>
          <w:rFonts w:cstheme="minorHAnsi"/>
        </w:rPr>
        <w:t>strategická rizika</w:t>
      </w:r>
      <w:r w:rsidRPr="00AE613F">
        <w:rPr>
          <w:rFonts w:cstheme="minorHAnsi"/>
        </w:rPr>
        <w:t xml:space="preserve"> zmínila změnu energetické politiky státu</w:t>
      </w:r>
      <w:r w:rsidR="00AE613F" w:rsidRPr="00AE613F">
        <w:rPr>
          <w:rFonts w:cstheme="minorHAnsi"/>
        </w:rPr>
        <w:t xml:space="preserve">, </w:t>
      </w:r>
      <w:r w:rsidRPr="00AE613F">
        <w:rPr>
          <w:rFonts w:cstheme="minorHAnsi"/>
        </w:rPr>
        <w:t>nařízení EU proti odlesňování</w:t>
      </w:r>
      <w:r w:rsidR="00AE613F" w:rsidRPr="00AE613F">
        <w:rPr>
          <w:rFonts w:cstheme="minorHAnsi"/>
        </w:rPr>
        <w:t xml:space="preserve"> a přechod zákazníků na jiné druhy paliva. Může být některé z těchto rizik v nejbližší době natolik závažné, že by vedlo k ukončení činnosti společnosti?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0298D4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32B6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32B6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2DC8D52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32B68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061105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32B68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17999" w14:textId="77777777" w:rsidR="006D3B44" w:rsidRDefault="006D3B44" w:rsidP="00A40E93">
      <w:pPr>
        <w:spacing w:after="0" w:line="240" w:lineRule="auto"/>
      </w:pPr>
      <w:r>
        <w:separator/>
      </w:r>
    </w:p>
  </w:endnote>
  <w:endnote w:type="continuationSeparator" w:id="0">
    <w:p w14:paraId="38A716E2" w14:textId="77777777" w:rsidR="006D3B44" w:rsidRDefault="006D3B4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5FA27" w14:textId="77777777" w:rsidR="006D3B44" w:rsidRDefault="006D3B44" w:rsidP="00A40E93">
      <w:pPr>
        <w:spacing w:after="0" w:line="240" w:lineRule="auto"/>
      </w:pPr>
      <w:r>
        <w:separator/>
      </w:r>
    </w:p>
  </w:footnote>
  <w:footnote w:type="continuationSeparator" w:id="0">
    <w:p w14:paraId="600701D8" w14:textId="77777777" w:rsidR="006D3B44" w:rsidRDefault="006D3B4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7B64"/>
    <w:rsid w:val="000C0458"/>
    <w:rsid w:val="000E094A"/>
    <w:rsid w:val="00144F5B"/>
    <w:rsid w:val="001A3F0F"/>
    <w:rsid w:val="0024258E"/>
    <w:rsid w:val="0029651C"/>
    <w:rsid w:val="00366C75"/>
    <w:rsid w:val="00386EEB"/>
    <w:rsid w:val="003A2041"/>
    <w:rsid w:val="00413EF2"/>
    <w:rsid w:val="004C23F4"/>
    <w:rsid w:val="004D378C"/>
    <w:rsid w:val="00550BB5"/>
    <w:rsid w:val="00557C61"/>
    <w:rsid w:val="00571A90"/>
    <w:rsid w:val="005C4ACA"/>
    <w:rsid w:val="005F5E4B"/>
    <w:rsid w:val="0067082B"/>
    <w:rsid w:val="00694399"/>
    <w:rsid w:val="006C4198"/>
    <w:rsid w:val="006C5F71"/>
    <w:rsid w:val="006D3B44"/>
    <w:rsid w:val="0073639B"/>
    <w:rsid w:val="007553A6"/>
    <w:rsid w:val="007B4411"/>
    <w:rsid w:val="0085398A"/>
    <w:rsid w:val="008B781B"/>
    <w:rsid w:val="008E2072"/>
    <w:rsid w:val="008E6C95"/>
    <w:rsid w:val="00932B68"/>
    <w:rsid w:val="00974EA2"/>
    <w:rsid w:val="0097798F"/>
    <w:rsid w:val="00987B93"/>
    <w:rsid w:val="009C322A"/>
    <w:rsid w:val="009C7318"/>
    <w:rsid w:val="00A3281E"/>
    <w:rsid w:val="00A40E93"/>
    <w:rsid w:val="00A7527E"/>
    <w:rsid w:val="00AE613F"/>
    <w:rsid w:val="00B136A0"/>
    <w:rsid w:val="00B14451"/>
    <w:rsid w:val="00BA16DD"/>
    <w:rsid w:val="00BB3BE6"/>
    <w:rsid w:val="00C02883"/>
    <w:rsid w:val="00C45C56"/>
    <w:rsid w:val="00C9748C"/>
    <w:rsid w:val="00CA34A9"/>
    <w:rsid w:val="00CC5272"/>
    <w:rsid w:val="00CD12C3"/>
    <w:rsid w:val="00D468BB"/>
    <w:rsid w:val="00D507EE"/>
    <w:rsid w:val="00DC37C2"/>
    <w:rsid w:val="00DC7D52"/>
    <w:rsid w:val="00E22423"/>
    <w:rsid w:val="00EF1720"/>
    <w:rsid w:val="00F26035"/>
    <w:rsid w:val="00F9188B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42AF2"/>
    <w:rsid w:val="00510546"/>
    <w:rsid w:val="005E083B"/>
    <w:rsid w:val="00862044"/>
    <w:rsid w:val="008F51EA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812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Lubor Homolka</cp:lastModifiedBy>
  <cp:revision>22</cp:revision>
  <cp:lastPrinted>2022-03-14T11:55:00Z</cp:lastPrinted>
  <dcterms:created xsi:type="dcterms:W3CDTF">2022-03-14T14:34:00Z</dcterms:created>
  <dcterms:modified xsi:type="dcterms:W3CDTF">2025-05-20T13:39:00Z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