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28BD3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</w:tblPrEx>
        <w:tc>
          <w:tcPr>
            <w:tcW w:w="9828" w:type="dxa"/>
            <w:gridSpan w:val="9"/>
          </w:tcPr>
          <w:p w14:paraId="2C4D18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 DIPLOMOVÉ PRÁCE</w:t>
            </w:r>
          </w:p>
        </w:tc>
      </w:tr>
      <w:tr w14:paraId="3466D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07E99A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4A19A5C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color w:val="000000"/>
                <w:kern w:val="0"/>
                <w:sz w:val="24"/>
                <w:szCs w:val="24"/>
                <w:lang w:val="en-US" w:eastAsia="zh-CN" w:bidi="ar"/>
              </w:rPr>
              <w:t>Bc. Adéla Kylarová</w:t>
            </w:r>
          </w:p>
        </w:tc>
      </w:tr>
      <w:tr w14:paraId="1D14E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45690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220F1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Zavádění paliativního přístupu v organizaci typu </w:t>
            </w:r>
          </w:p>
          <w:p w14:paraId="4AD290F7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domov pro seniory</w:t>
            </w:r>
          </w:p>
        </w:tc>
      </w:tr>
      <w:tr w14:paraId="5E806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39D9B9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 práce</w:t>
            </w:r>
          </w:p>
        </w:tc>
        <w:tc>
          <w:tcPr>
            <w:tcW w:w="7020" w:type="dxa"/>
            <w:gridSpan w:val="8"/>
          </w:tcPr>
          <w:p w14:paraId="2EFDF6A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Doc.PhDr. Lenka Haburajová Ilavská, PhD.</w:t>
            </w:r>
          </w:p>
        </w:tc>
      </w:tr>
      <w:tr w14:paraId="3245B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1EA34A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85CA83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Sociální pedagogika</w:t>
            </w:r>
          </w:p>
        </w:tc>
      </w:tr>
      <w:tr w14:paraId="0E5D1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23D03B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0601B1C">
            <w:pPr>
              <w:rPr>
                <w:sz w:val="22"/>
                <w:szCs w:val="22"/>
              </w:rPr>
            </w:pPr>
          </w:p>
        </w:tc>
      </w:tr>
      <w:tr w14:paraId="46DD88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 w14:paraId="220470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D58D31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733B4E47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60CF7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3EAE355F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70AF5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FA88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15EE3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C6B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097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A3F3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555B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4C8D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E7D9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0CF31A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vAlign w:val="center"/>
          </w:tcPr>
          <w:p w14:paraId="07B17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592BE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371D6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09ADF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E27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A5E6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5704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F310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vAlign w:val="center"/>
          </w:tcPr>
          <w:p w14:paraId="0BA790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33DBB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2E4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02C0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05A2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FD1CD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85E20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14035BC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Teoretická východiska práce</w:t>
            </w:r>
          </w:p>
        </w:tc>
      </w:tr>
      <w:tr w14:paraId="6EDA4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8F9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F6CB2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861A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BAE8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8A88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C3885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40AD8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5426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8AFBF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0731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2B743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B8846A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19A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5569C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EB1ED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29ED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1CEF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6C2D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C40CC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ED330B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C87B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FB42D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26A1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BCFFE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038819F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14:paraId="623F6A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50A1F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vAlign w:val="center"/>
          </w:tcPr>
          <w:p w14:paraId="6DC947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4C4FC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706636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0B45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406A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147C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7C7C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2519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vAlign w:val="center"/>
          </w:tcPr>
          <w:p w14:paraId="660D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E18C8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942B80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A7C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EE3C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FB95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6E3C5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F6761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17DB9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E61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E49D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6DB95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64250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66DEB9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4CF5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DCB54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9BF20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BAAD8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7600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5A380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9398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5A036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1206C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53A38451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14:paraId="30B18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08025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35E62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13B3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A03B9C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ADEEE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EB83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231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1E1A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CBA42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B5BE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E7283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7A64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F1E016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4DDF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59162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24089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71A333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B716F16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Silné stránky:</w:t>
            </w:r>
          </w:p>
          <w:p w14:paraId="79B7F02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aktuálna téma, korešponduje so študijným programom</w:t>
            </w:r>
          </w:p>
          <w:p w14:paraId="5B86B752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dostatočný počet zdrojov použitej literatúry</w:t>
            </w:r>
          </w:p>
          <w:p w14:paraId="4E589E1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dodržiavanie citačnej normy</w:t>
            </w:r>
          </w:p>
          <w:p w14:paraId="69427AB6">
            <w:pPr>
              <w:rPr>
                <w:sz w:val="22"/>
                <w:szCs w:val="22"/>
              </w:rPr>
            </w:pPr>
          </w:p>
          <w:p w14:paraId="2D6FA66C">
            <w:pPr>
              <w:rPr>
                <w:sz w:val="22"/>
                <w:szCs w:val="22"/>
              </w:rPr>
            </w:pPr>
          </w:p>
          <w:p w14:paraId="1B05D352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5DB5863E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Teoretická časť práce je vzhľadom na druh kvalifikačnej práce rozsiahla avšak na niektorých stranách ide prevažne o kompilát odborných textov, bez autorkiných komentárov. </w:t>
            </w:r>
          </w:p>
          <w:p w14:paraId="208C35B2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Opierate sa prevažne o rovnaké zdroje použitej literatúry. Téma práce je veľmi frekventovaná a existuje množstvo aktuálnejších zdrojov literatúry. </w:t>
            </w:r>
          </w:p>
          <w:p w14:paraId="350D0F5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Časť sociálne aspekty starnutia by si zaslúžila detailnejšie spracovanie, i z pohľadu sociálneho pedagóga-sociálneho pracovníka.</w:t>
            </w:r>
          </w:p>
          <w:p w14:paraId="29D8395F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Absentuje legislatívne vymedzenie problematiky. Nakoľko paliatívna starostlivosť je veľmi špecifická, má presah v rámci viacerých rezortov zaslúžila by si väčší priestor. </w:t>
            </w:r>
          </w:p>
          <w:p w14:paraId="2AF8C22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Na s. 35 uvádzate grafický znázornený podiel ľudí na 65 let v ČR. Následne sa opierate o tieto dáta avšak vašou cieľovou skupinou je jedna časť ľudí na 65 let, preto by si práca zaslúžila pridržiavať sa témy a cieľovej skupine. </w:t>
            </w:r>
          </w:p>
          <w:p w14:paraId="30199F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NewRomanPS-BoldMT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V rámci praktickej časti ste si špecifikovali ako cieľ výskumu “zmapovať </w:t>
            </w:r>
            <w:r>
              <w:rPr>
                <w:rFonts w:hint="default" w:ascii="Times New Roman" w:hAnsi="Times New Roman" w:eastAsia="TimesNewRomanPS-BoldMT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průběh zavádění paliativního přístupu v organizaci typu domov pro seniory</w:t>
            </w:r>
            <w:r>
              <w:rPr>
                <w:rFonts w:hint="default" w:ascii="Times New Roman" w:hAnsi="Times New Roman" w:eastAsia="TimesNewRomanPS-BoldMT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 xml:space="preserve">”. Problematike paliatívneho prístupu ste sa však ani v rámci teoretickej časti nevenovali. Úplne chýba jeho definovanie, podstata, fáze, oblasti. </w:t>
            </w:r>
          </w:p>
          <w:p w14:paraId="75B721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NewRomanPS-BoldMT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</w:pPr>
            <w:r>
              <w:rPr>
                <w:rFonts w:hint="default" w:ascii="Times New Roman" w:hAnsi="Times New Roman" w:eastAsia="TimesNewRomanPS-BoldMT" w:cs="Times New Roman"/>
                <w:b w:val="0"/>
                <w:bCs w:val="0"/>
                <w:color w:val="000000"/>
                <w:kern w:val="0"/>
                <w:sz w:val="22"/>
                <w:szCs w:val="22"/>
                <w:lang w:val="sk-SK" w:eastAsia="zh-CN" w:bidi="ar"/>
              </w:rPr>
              <w:t xml:space="preserve">Časť interpertace výsledkov je popisom jednotlivých aspektov zavádzania paliatívneho prístupu. Z pohľadu dat, informácií ide o popis z vnútorných materiálov, metodík. Stráca sa potenciál a kvalita výsledkov. </w:t>
            </w:r>
          </w:p>
          <w:p w14:paraId="3C62D1F3">
            <w:pPr>
              <w:rPr>
                <w:sz w:val="22"/>
                <w:szCs w:val="22"/>
              </w:rPr>
            </w:pPr>
          </w:p>
          <w:p w14:paraId="07F27863">
            <w:pPr>
              <w:rPr>
                <w:sz w:val="22"/>
                <w:szCs w:val="22"/>
              </w:rPr>
            </w:pPr>
          </w:p>
        </w:tc>
      </w:tr>
      <w:tr w14:paraId="1B03F4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3ACFD22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14:paraId="198FC1E9">
            <w:pPr>
              <w:rPr>
                <w:rFonts w:hint="default"/>
                <w:sz w:val="22"/>
                <w:szCs w:val="22"/>
                <w:lang w:val="sk-SK"/>
              </w:rPr>
            </w:pPr>
          </w:p>
          <w:p w14:paraId="6FA8F5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Na s. 49 uvádzate: “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Dle informací, které nám organizace poskytla, prošli zaměstnanci školením firemní kultury i školením komunikačních dovedností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.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V domově pro seniory se setkáváme zejména s časovou náročností zajišťování celodenní péče u klientů. Zajištění základních potřeb je stěžejní. Při poskytování paliativní péče je však kladen důraz na individuální práci s klientem.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” Čo nové sa Vám podarilo výskumom priniesť okrem vyššie uvedených konštatovaní? </w:t>
            </w:r>
          </w:p>
          <w:p w14:paraId="73F799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sk-SK"/>
              </w:rPr>
            </w:pPr>
          </w:p>
          <w:p w14:paraId="03C0C1CF">
            <w:pPr>
              <w:numPr>
                <w:ilvl w:val="0"/>
                <w:numId w:val="1"/>
              </w:numPr>
              <w:ind w:left="0" w:leftChars="0" w:firstLine="0" w:firstLineChars="0"/>
              <w:rPr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Uveďte prínos vašej práce pre sociálnu pedagogiku. </w:t>
            </w:r>
          </w:p>
          <w:p w14:paraId="0628937E">
            <w:pPr>
              <w:numPr>
                <w:numId w:val="0"/>
              </w:numPr>
              <w:ind w:leftChars="0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21EE15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5C13BC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</w:tcPr>
          <w:p w14:paraId="719FA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3557E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533B2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C429CF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157DD2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D2AB84F">
            <w:pPr>
              <w:jc w:val="center"/>
              <w:rPr>
                <w:sz w:val="22"/>
                <w:szCs w:val="22"/>
              </w:rPr>
            </w:pPr>
          </w:p>
        </w:tc>
      </w:tr>
      <w:tr w14:paraId="72B0EA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  <w:gridSpan w:val="2"/>
            <w:vAlign w:val="center"/>
          </w:tcPr>
          <w:p w14:paraId="254B541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Datum: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2.5.2025</w:t>
            </w:r>
          </w:p>
        </w:tc>
        <w:tc>
          <w:tcPr>
            <w:tcW w:w="5760" w:type="dxa"/>
            <w:gridSpan w:val="7"/>
            <w:vAlign w:val="center"/>
          </w:tcPr>
          <w:p w14:paraId="5942A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Podpis:</w:t>
            </w:r>
          </w:p>
        </w:tc>
      </w:tr>
    </w:tbl>
    <w:p w14:paraId="76F36D6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36EC0643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0BA267"/>
    <w:multiLevelType w:val="singleLevel"/>
    <w:tmpl w:val="420BA26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9D1388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F1740"/>
    <w:rsid w:val="00B02A88"/>
    <w:rsid w:val="00B411DB"/>
    <w:rsid w:val="00BA3203"/>
    <w:rsid w:val="00C50B27"/>
    <w:rsid w:val="00CE0A8B"/>
    <w:rsid w:val="00CE4377"/>
    <w:rsid w:val="00DC1BF5"/>
    <w:rsid w:val="00E67C85"/>
    <w:rsid w:val="00E709EA"/>
    <w:rsid w:val="00F1326B"/>
    <w:rsid w:val="2EE94C3D"/>
    <w:rsid w:val="3A9D1388"/>
    <w:rsid w:val="43D00815"/>
    <w:rsid w:val="6F641E69"/>
    <w:rsid w:val="7406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paragraph" w:styleId="5">
    <w:name w:val="footnote text"/>
    <w:basedOn w:val="1"/>
    <w:semiHidden/>
    <w:uiPriority w:val="0"/>
    <w:rPr>
      <w:sz w:val="20"/>
      <w:szCs w:val="20"/>
    </w:rPr>
  </w:style>
  <w:style w:type="table" w:styleId="6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wnloads\POSUDEK%20OPONENTA%20DIPLOMOV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(2).dotx</Template>
  <Pages>2</Pages>
  <Words>216</Words>
  <Characters>1006</Characters>
  <Lines>9</Lines>
  <Paragraphs>2</Paragraphs>
  <TotalTime>34</TotalTime>
  <ScaleCrop>false</ScaleCrop>
  <LinksUpToDate>false</LinksUpToDate>
  <CharactersWithSpaces>1116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2025-05-02T10:18:00Z</dcterms:created>
  <dc:creator>peter</dc:creator>
  <cp:lastModifiedBy>Lenka Haburajová Ilavská</cp:lastModifiedBy>
  <cp:lastPrinted>2025-05-02T10:55:18Z</cp:lastPrinted>
  <dcterms:modified xsi:type="dcterms:W3CDTF">2025-05-02T10:55:24Z</dcterms:modified>
  <dc:title>POSUDEK VEDOUCÍHO BAKALÁŘSKÉ PRÁCE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4D26B830C1E0425E9655A7E0B6A7D147_13</vt:lpwstr>
  </property>
  <property fmtid="{D5CDD505-2E9C-101B-9397-08002B2CF9AE}" pid="3" name="KSOProductBuildVer">
    <vt:lpwstr>1033-12.2.0.20795</vt:lpwstr>
  </property>
</Properties>
</file>