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0EF97F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C555C" w:rsidRPr="009C555C">
        <w:rPr>
          <w:rFonts w:asciiTheme="minorHAnsi" w:hAnsiTheme="minorHAnsi" w:cstheme="minorHAnsi"/>
          <w:sz w:val="22"/>
          <w:szCs w:val="22"/>
        </w:rPr>
        <w:t>Maryna Didenko</w:t>
      </w:r>
    </w:p>
    <w:p w14:paraId="01DAD7B2" w14:textId="629669A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C555C">
        <w:rPr>
          <w:rFonts w:asciiTheme="minorHAnsi" w:hAnsiTheme="minorHAnsi" w:cstheme="minorHAnsi"/>
          <w:sz w:val="22"/>
          <w:szCs w:val="22"/>
        </w:rPr>
        <w:t>Ing. Pavlína Kirschnerová</w:t>
      </w:r>
      <w:r w:rsidR="003A1041">
        <w:rPr>
          <w:rFonts w:asciiTheme="minorHAnsi" w:hAnsiTheme="minorHAnsi" w:cstheme="minorHAnsi"/>
          <w:sz w:val="22"/>
          <w:szCs w:val="22"/>
        </w:rPr>
        <w:t>, Ph.D.</w:t>
      </w:r>
    </w:p>
    <w:p w14:paraId="43917A2A" w14:textId="1321EFCA" w:rsidR="00037B1A" w:rsidRDefault="00037B1A" w:rsidP="009C555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C555C" w:rsidRPr="009C555C">
        <w:rPr>
          <w:rFonts w:cstheme="minorHAnsi"/>
        </w:rPr>
        <w:t>Komparace daňového zatížení fyzických osob</w:t>
      </w:r>
      <w:r w:rsidR="009C555C">
        <w:rPr>
          <w:rFonts w:cstheme="minorHAnsi"/>
        </w:rPr>
        <w:t xml:space="preserve"> </w:t>
      </w:r>
      <w:r w:rsidR="009C555C" w:rsidRPr="009C555C">
        <w:rPr>
          <w:rFonts w:cstheme="minorHAnsi"/>
        </w:rPr>
        <w:t>v České republice a na Ukrajině</w:t>
      </w:r>
    </w:p>
    <w:p w14:paraId="3F08876F" w14:textId="61FC7B2E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A104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DE4522" w:rsidR="000E094A" w:rsidRDefault="008D43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21AEC" w14:textId="77777777" w:rsidR="00D9779A" w:rsidRDefault="00D9779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04804A3" w14:textId="01E108F2" w:rsidR="008B781B" w:rsidRPr="000E094A" w:rsidRDefault="00D977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9779A">
              <w:rPr>
                <w:rFonts w:cstheme="minorHAnsi"/>
              </w:rPr>
              <w:t>Stanovené cíle jsou v souladu s t</w:t>
            </w:r>
            <w:r w:rsidR="009D57F0">
              <w:rPr>
                <w:rFonts w:cstheme="minorHAnsi"/>
              </w:rPr>
              <w:t>e</w:t>
            </w:r>
            <w:bookmarkStart w:id="1" w:name="_GoBack"/>
            <w:bookmarkEnd w:id="1"/>
            <w:r w:rsidRPr="00D9779A">
              <w:rPr>
                <w:rFonts w:cstheme="minorHAnsi"/>
              </w:rPr>
              <w:t>matickým zaměřením práce a jejich formulace je jasná, přesná a srozumitelná, což umožňuje jednoznačné vymezení záměru a směru práce. Zvolené metody a postupy odpovídají charakteru zkoumané problematiky a jsou adekvátně popsány.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13641E" w:rsidR="000E094A" w:rsidRDefault="003F23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7B3C61" w14:textId="77777777" w:rsidR="001D70CF" w:rsidRDefault="001D70CF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02D98EBD" w:rsidR="000E094A" w:rsidRPr="000E094A" w:rsidRDefault="001D70C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D70CF">
              <w:rPr>
                <w:rFonts w:cstheme="minorHAnsi"/>
              </w:rPr>
              <w:t>Teoretická část práce je založena na relevantních a adekvátně zvolených zdrojích, které jsou řádně citovány v souladu s</w:t>
            </w:r>
            <w:r w:rsidR="001230A5">
              <w:rPr>
                <w:rFonts w:cstheme="minorHAnsi"/>
              </w:rPr>
              <w:t> </w:t>
            </w:r>
            <w:r w:rsidRPr="001D70CF">
              <w:rPr>
                <w:rFonts w:cstheme="minorHAnsi"/>
              </w:rPr>
              <w:t>příslušn</w:t>
            </w:r>
            <w:r w:rsidR="001230A5">
              <w:rPr>
                <w:rFonts w:cstheme="minorHAnsi"/>
              </w:rPr>
              <w:t xml:space="preserve">ou </w:t>
            </w:r>
            <w:r w:rsidRPr="001D70CF">
              <w:rPr>
                <w:rFonts w:cstheme="minorHAnsi"/>
              </w:rPr>
              <w:t>citační norm</w:t>
            </w:r>
            <w:r w:rsidR="001230A5">
              <w:rPr>
                <w:rFonts w:cstheme="minorHAnsi"/>
              </w:rPr>
              <w:t>ou</w:t>
            </w:r>
            <w:r w:rsidRPr="001D70CF">
              <w:rPr>
                <w:rFonts w:cstheme="minorHAnsi"/>
              </w:rPr>
              <w:t>. Literární rešerše pokrývá zásadní tematické okruhy související s problematikou a cíli práce.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591382B" w:rsidR="000E094A" w:rsidRDefault="009F30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191473D" w:rsidR="000E094A" w:rsidRDefault="00E02E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02E1F">
              <w:rPr>
                <w:rFonts w:cstheme="minorHAnsi"/>
              </w:rPr>
              <w:t xml:space="preserve">Analytická část práce vhodně navazuje na teoretická východiska a prokazuje schopnost aplikace teoretických poznatků v praktickém kontextu. Studentka </w:t>
            </w:r>
            <w:r w:rsidR="00CB51CF">
              <w:rPr>
                <w:rFonts w:cstheme="minorHAnsi"/>
              </w:rPr>
              <w:t>porovnává</w:t>
            </w:r>
            <w:r w:rsidRPr="00E02E1F">
              <w:rPr>
                <w:rFonts w:cstheme="minorHAnsi"/>
              </w:rPr>
              <w:t xml:space="preserve"> daňo</w:t>
            </w:r>
            <w:r w:rsidR="00260162">
              <w:rPr>
                <w:rFonts w:cstheme="minorHAnsi"/>
              </w:rPr>
              <w:t>vé</w:t>
            </w:r>
            <w:r w:rsidRPr="00E02E1F">
              <w:rPr>
                <w:rFonts w:cstheme="minorHAnsi"/>
              </w:rPr>
              <w:t xml:space="preserve"> systém</w:t>
            </w:r>
            <w:r w:rsidR="00CB51CF">
              <w:rPr>
                <w:rFonts w:cstheme="minorHAnsi"/>
              </w:rPr>
              <w:t>y</w:t>
            </w:r>
            <w:r w:rsidRPr="00E02E1F">
              <w:rPr>
                <w:rFonts w:cstheme="minorHAnsi"/>
              </w:rPr>
              <w:t xml:space="preserve"> České republiky a Ukrajiny</w:t>
            </w:r>
            <w:r w:rsidR="00497F3A">
              <w:rPr>
                <w:rFonts w:cstheme="minorHAnsi"/>
              </w:rPr>
              <w:t xml:space="preserve">. </w:t>
            </w:r>
            <w:r w:rsidR="00F56D56">
              <w:rPr>
                <w:rFonts w:cstheme="minorHAnsi"/>
              </w:rPr>
              <w:t>Následně se</w:t>
            </w:r>
            <w:r w:rsidR="00250E65">
              <w:rPr>
                <w:rFonts w:cstheme="minorHAnsi"/>
              </w:rPr>
              <w:t xml:space="preserve"> z</w:t>
            </w:r>
            <w:r w:rsidRPr="00E02E1F">
              <w:rPr>
                <w:rFonts w:cstheme="minorHAnsi"/>
              </w:rPr>
              <w:t xml:space="preserve">aměřuje </w:t>
            </w:r>
            <w:r w:rsidR="00920F68">
              <w:rPr>
                <w:rFonts w:cstheme="minorHAnsi"/>
              </w:rPr>
              <w:t>na</w:t>
            </w:r>
            <w:r w:rsidR="00FA39F1">
              <w:rPr>
                <w:rFonts w:cstheme="minorHAnsi"/>
              </w:rPr>
              <w:t xml:space="preserve"> klíčové charakteristiky a podstatné</w:t>
            </w:r>
            <w:r w:rsidRPr="00E02E1F">
              <w:rPr>
                <w:rFonts w:cstheme="minorHAnsi"/>
              </w:rPr>
              <w:t xml:space="preserve"> konstrukční prvky dan</w:t>
            </w:r>
            <w:r w:rsidR="00401797">
              <w:rPr>
                <w:rFonts w:cstheme="minorHAnsi"/>
              </w:rPr>
              <w:t>ě z</w:t>
            </w:r>
            <w:r w:rsidR="0067674D">
              <w:rPr>
                <w:rFonts w:cstheme="minorHAnsi"/>
              </w:rPr>
              <w:t> </w:t>
            </w:r>
            <w:r w:rsidR="00401797">
              <w:rPr>
                <w:rFonts w:cstheme="minorHAnsi"/>
              </w:rPr>
              <w:t>příjmů</w:t>
            </w:r>
            <w:r w:rsidR="0067674D">
              <w:rPr>
                <w:rFonts w:cstheme="minorHAnsi"/>
              </w:rPr>
              <w:t xml:space="preserve"> fyzických osob ze závislé činnosti</w:t>
            </w:r>
            <w:r w:rsidR="00E965A2">
              <w:rPr>
                <w:rFonts w:cstheme="minorHAnsi"/>
              </w:rPr>
              <w:t xml:space="preserve"> obou zemí.</w:t>
            </w:r>
            <w:r w:rsidRPr="00E02E1F">
              <w:rPr>
                <w:rFonts w:cstheme="minorHAnsi"/>
              </w:rPr>
              <w:t xml:space="preserve">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544DF4E" w:rsidR="000E094A" w:rsidRDefault="004B7C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3C5AE" w14:textId="77777777" w:rsidR="00657AE4" w:rsidRPr="008B781B" w:rsidRDefault="00657AE4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B47E1B3" w14:textId="018D240D" w:rsidR="000E094A" w:rsidRDefault="00516F1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navazuje na p</w:t>
            </w:r>
            <w:r w:rsidR="00CE03FC">
              <w:rPr>
                <w:rFonts w:cstheme="minorHAnsi"/>
              </w:rPr>
              <w:t>ředchozí část, kdy jsou n</w:t>
            </w:r>
            <w:r w:rsidR="00564738" w:rsidRPr="00564738">
              <w:rPr>
                <w:rFonts w:cstheme="minorHAnsi"/>
              </w:rPr>
              <w:t>a modelových příkladech názorně demonstr</w:t>
            </w:r>
            <w:r w:rsidR="00267FF7">
              <w:rPr>
                <w:rFonts w:cstheme="minorHAnsi"/>
              </w:rPr>
              <w:t>ovány</w:t>
            </w:r>
            <w:r w:rsidR="00564738" w:rsidRPr="00564738">
              <w:rPr>
                <w:rFonts w:cstheme="minorHAnsi"/>
              </w:rPr>
              <w:t xml:space="preserve"> rozdíly v daňovém zatížení příjmů fyzických osob ze závislé činnosti, čímž </w:t>
            </w:r>
            <w:r w:rsidR="00657AE4">
              <w:rPr>
                <w:rFonts w:cstheme="minorHAnsi"/>
              </w:rPr>
              <w:t xml:space="preserve">studentka </w:t>
            </w:r>
            <w:r w:rsidR="00564738" w:rsidRPr="00564738">
              <w:rPr>
                <w:rFonts w:cstheme="minorHAnsi"/>
              </w:rPr>
              <w:t>poukazuje na praktické dopady rozdílných přístupů obou států. Zde se však při komparaci daňového zatížení podle ukrajinské minimální mzdy dopustila chyby, kdy po přepočtu hřiven na koruny výše příjmu v Kč nepřipouští uplatnění bonusu, a to z důvodu nedosažení příjmu alespoň ve výši šestinásobku minimální mzdy.</w:t>
            </w:r>
            <w:r w:rsidR="002943AC">
              <w:rPr>
                <w:rFonts w:cstheme="minorHAnsi"/>
              </w:rPr>
              <w:t xml:space="preserve"> </w:t>
            </w:r>
            <w:r w:rsidR="00AF4C5C" w:rsidRPr="00AF4C5C">
              <w:rPr>
                <w:rFonts w:cstheme="minorHAnsi"/>
              </w:rPr>
              <w:t>Argumentační úroveň práce je přiměřená a v zásadě přesvědčivá</w:t>
            </w:r>
            <w:r w:rsidR="004423E6">
              <w:rPr>
                <w:rFonts w:cstheme="minorHAnsi"/>
              </w:rPr>
              <w:t xml:space="preserve">, </w:t>
            </w:r>
            <w:r w:rsidR="00322B32" w:rsidRPr="00322B32">
              <w:rPr>
                <w:rFonts w:cstheme="minorHAnsi"/>
              </w:rPr>
              <w:t xml:space="preserve">ačkoliv se v některých pasážích odráží již zmíněná </w:t>
            </w:r>
            <w:r w:rsidR="00322B32">
              <w:rPr>
                <w:rFonts w:cstheme="minorHAnsi"/>
              </w:rPr>
              <w:t>dílčí chyba</w:t>
            </w:r>
            <w:r w:rsidR="00322B32" w:rsidRPr="00322B32">
              <w:rPr>
                <w:rFonts w:cstheme="minorHAnsi"/>
              </w:rPr>
              <w:t>.</w:t>
            </w:r>
          </w:p>
          <w:p w14:paraId="004DDAA0" w14:textId="18BD886E" w:rsidR="00FB2FD8" w:rsidRPr="000E094A" w:rsidRDefault="00FB2FD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byl splněn.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69EC8BF" w:rsidR="000E094A" w:rsidRDefault="00990C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09A27" w14:textId="77777777" w:rsidR="00AA2B9E" w:rsidRDefault="00AA2B9E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998C67" w14:textId="26D559BE" w:rsidR="000E094A" w:rsidRPr="000E094A" w:rsidRDefault="00AA2B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A2B9E">
              <w:rPr>
                <w:rFonts w:cstheme="minorHAnsi"/>
              </w:rPr>
              <w:t>Formální stránka práce je na dobré úrovni – text je logicky strukturovaný a provázaný, citace zdrojů jsou uváděny v souladu s příslušnou normou. Z hlediska odborné terminologie a jazykové úrovně se vyskytují drobné nepřesnosti, které lze částečně přičíst skutečnosti, že studentka není rodilou mluvčí češtiny.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8E50980" w:rsidR="009C7318" w:rsidRDefault="00F12A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4D8BC22F" w:rsidR="009D67D5" w:rsidRPr="000E094A" w:rsidRDefault="008F6439" w:rsidP="00C14F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8F6439">
              <w:rPr>
                <w:rFonts w:cstheme="minorHAnsi"/>
              </w:rPr>
              <w:t>Studentka</w:t>
            </w:r>
            <w:r w:rsidR="00FC7363">
              <w:rPr>
                <w:rFonts w:cstheme="minorHAnsi"/>
              </w:rPr>
              <w:t xml:space="preserve"> </w:t>
            </w:r>
            <w:r w:rsidR="00FC7363" w:rsidRPr="00FC7363">
              <w:rPr>
                <w:rFonts w:cstheme="minorHAnsi"/>
              </w:rPr>
              <w:t>prok</w:t>
            </w:r>
            <w:r w:rsidR="00FC7363">
              <w:rPr>
                <w:rFonts w:cstheme="minorHAnsi"/>
              </w:rPr>
              <w:t>ázala</w:t>
            </w:r>
            <w:r w:rsidR="00FC7363" w:rsidRPr="00FC7363">
              <w:rPr>
                <w:rFonts w:cstheme="minorHAnsi"/>
              </w:rPr>
              <w:t xml:space="preserve"> schopnost samostatné analýzy i orientaci ve zvolené oblasti</w:t>
            </w:r>
            <w:r w:rsidR="008E3C4D">
              <w:rPr>
                <w:rFonts w:cstheme="minorHAnsi"/>
              </w:rPr>
              <w:t xml:space="preserve">, kterou zpracovala </w:t>
            </w:r>
            <w:r w:rsidR="008E3C4D" w:rsidRPr="008E3C4D">
              <w:rPr>
                <w:rFonts w:cstheme="minorHAnsi"/>
              </w:rPr>
              <w:t>přehledně a s přiměřenou hloubkou.</w:t>
            </w:r>
            <w:r w:rsidR="00676C55">
              <w:t xml:space="preserve"> </w:t>
            </w:r>
            <w:r w:rsidR="00676C55" w:rsidRPr="00676C55">
              <w:rPr>
                <w:rFonts w:cstheme="minorHAnsi"/>
              </w:rPr>
              <w:t>Práce splňuje požadavky kladené na závěrečnou práci</w:t>
            </w:r>
            <w:r w:rsidR="00C14F7E">
              <w:rPr>
                <w:rFonts w:cstheme="minorHAnsi"/>
              </w:rPr>
              <w:t>, vytýčený cíl byl naplněn.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1BDB867" w:rsidR="009C7318" w:rsidRDefault="00C62FF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62FF2">
        <w:rPr>
          <w:rFonts w:cstheme="minorHAnsi"/>
        </w:rPr>
        <w:t xml:space="preserve">V čem vidíte </w:t>
      </w:r>
      <w:r>
        <w:rPr>
          <w:rFonts w:cstheme="minorHAnsi"/>
        </w:rPr>
        <w:t>zásadní</w:t>
      </w:r>
      <w:r w:rsidRPr="00C62FF2">
        <w:rPr>
          <w:rFonts w:cstheme="minorHAnsi"/>
        </w:rPr>
        <w:t xml:space="preserve"> rozdíl mezi českým a ukrajinským přístupem k zdaňování příjmů ze závislé činnosti?</w:t>
      </w:r>
    </w:p>
    <w:p w14:paraId="55DA52BC" w14:textId="012B1136" w:rsidR="005C4ACA" w:rsidRDefault="00F82DD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82DDF">
        <w:rPr>
          <w:rFonts w:cstheme="minorHAnsi"/>
        </w:rPr>
        <w:t>Ve své práci uvádíte, že daňové zatížení se u různých příjmových skupin na Ukrajině téměř neliší. Čím si tuto skutečnost vysvětlujete?</w:t>
      </w:r>
    </w:p>
    <w:p w14:paraId="1991DEDB" w14:textId="6D597506" w:rsidR="005C4ACA" w:rsidRPr="00197014" w:rsidRDefault="005C4ACA" w:rsidP="00197014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5AD86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9701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9701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99C453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97014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3DE62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97014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308D7" w14:textId="77777777" w:rsidR="008F1088" w:rsidRDefault="008F1088" w:rsidP="00A40E93">
      <w:pPr>
        <w:spacing w:after="0" w:line="240" w:lineRule="auto"/>
      </w:pPr>
      <w:r>
        <w:separator/>
      </w:r>
    </w:p>
  </w:endnote>
  <w:endnote w:type="continuationSeparator" w:id="0">
    <w:p w14:paraId="13C71056" w14:textId="77777777" w:rsidR="008F1088" w:rsidRDefault="008F10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5DA12" w14:textId="77777777" w:rsidR="008F1088" w:rsidRDefault="008F1088" w:rsidP="00A40E93">
      <w:pPr>
        <w:spacing w:after="0" w:line="240" w:lineRule="auto"/>
      </w:pPr>
      <w:r>
        <w:separator/>
      </w:r>
    </w:p>
  </w:footnote>
  <w:footnote w:type="continuationSeparator" w:id="0">
    <w:p w14:paraId="7F842E28" w14:textId="77777777" w:rsidR="008F1088" w:rsidRDefault="008F10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5920"/>
    <w:rsid w:val="000E094A"/>
    <w:rsid w:val="001230A5"/>
    <w:rsid w:val="00173FE7"/>
    <w:rsid w:val="001900AB"/>
    <w:rsid w:val="00197014"/>
    <w:rsid w:val="001D06B4"/>
    <w:rsid w:val="001D70CF"/>
    <w:rsid w:val="00232324"/>
    <w:rsid w:val="0024258E"/>
    <w:rsid w:val="00250E65"/>
    <w:rsid w:val="00260162"/>
    <w:rsid w:val="00267FF7"/>
    <w:rsid w:val="002943AC"/>
    <w:rsid w:val="0029651C"/>
    <w:rsid w:val="00322B32"/>
    <w:rsid w:val="003A1041"/>
    <w:rsid w:val="003C2743"/>
    <w:rsid w:val="003F234F"/>
    <w:rsid w:val="00401797"/>
    <w:rsid w:val="004423E6"/>
    <w:rsid w:val="00482F60"/>
    <w:rsid w:val="00497F3A"/>
    <w:rsid w:val="004B7ACC"/>
    <w:rsid w:val="004B7CF8"/>
    <w:rsid w:val="004D378C"/>
    <w:rsid w:val="004F4A0C"/>
    <w:rsid w:val="00516F19"/>
    <w:rsid w:val="00564738"/>
    <w:rsid w:val="005C4ACA"/>
    <w:rsid w:val="005C59ED"/>
    <w:rsid w:val="005D3668"/>
    <w:rsid w:val="005E1F59"/>
    <w:rsid w:val="00645C31"/>
    <w:rsid w:val="00657AE4"/>
    <w:rsid w:val="0067082B"/>
    <w:rsid w:val="0067674D"/>
    <w:rsid w:val="00676C55"/>
    <w:rsid w:val="00694399"/>
    <w:rsid w:val="0073639B"/>
    <w:rsid w:val="007553A6"/>
    <w:rsid w:val="007C5395"/>
    <w:rsid w:val="007F171A"/>
    <w:rsid w:val="00806D9B"/>
    <w:rsid w:val="00822344"/>
    <w:rsid w:val="0085398A"/>
    <w:rsid w:val="008947FB"/>
    <w:rsid w:val="008B781B"/>
    <w:rsid w:val="008D16AA"/>
    <w:rsid w:val="008D43B6"/>
    <w:rsid w:val="008E2072"/>
    <w:rsid w:val="008E3C4D"/>
    <w:rsid w:val="008F1088"/>
    <w:rsid w:val="008F6439"/>
    <w:rsid w:val="00920F68"/>
    <w:rsid w:val="00974EA2"/>
    <w:rsid w:val="00987B93"/>
    <w:rsid w:val="00990CC1"/>
    <w:rsid w:val="00991453"/>
    <w:rsid w:val="00992AFB"/>
    <w:rsid w:val="009C322A"/>
    <w:rsid w:val="009C555C"/>
    <w:rsid w:val="009C7318"/>
    <w:rsid w:val="009D57F0"/>
    <w:rsid w:val="009D67D5"/>
    <w:rsid w:val="009F3017"/>
    <w:rsid w:val="00A40E93"/>
    <w:rsid w:val="00A473D9"/>
    <w:rsid w:val="00A7527E"/>
    <w:rsid w:val="00AA2B9E"/>
    <w:rsid w:val="00AC1ADA"/>
    <w:rsid w:val="00AF4C5C"/>
    <w:rsid w:val="00B14451"/>
    <w:rsid w:val="00BA16DD"/>
    <w:rsid w:val="00C146E9"/>
    <w:rsid w:val="00C14F7E"/>
    <w:rsid w:val="00C476B5"/>
    <w:rsid w:val="00C62FF2"/>
    <w:rsid w:val="00CA34A9"/>
    <w:rsid w:val="00CB51CF"/>
    <w:rsid w:val="00CD12C3"/>
    <w:rsid w:val="00CE03FC"/>
    <w:rsid w:val="00D87C17"/>
    <w:rsid w:val="00D90835"/>
    <w:rsid w:val="00D9779A"/>
    <w:rsid w:val="00DC7D52"/>
    <w:rsid w:val="00DD4701"/>
    <w:rsid w:val="00DF7BEF"/>
    <w:rsid w:val="00E02E1F"/>
    <w:rsid w:val="00E22423"/>
    <w:rsid w:val="00E40FE0"/>
    <w:rsid w:val="00E63E68"/>
    <w:rsid w:val="00E965A2"/>
    <w:rsid w:val="00EF1720"/>
    <w:rsid w:val="00F12A33"/>
    <w:rsid w:val="00F56D56"/>
    <w:rsid w:val="00F82DDF"/>
    <w:rsid w:val="00F92059"/>
    <w:rsid w:val="00FA39F1"/>
    <w:rsid w:val="00FB2FD8"/>
    <w:rsid w:val="00FC2852"/>
    <w:rsid w:val="00FC7363"/>
    <w:rsid w:val="00FE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3C2743"/>
    <w:rsid w:val="00510546"/>
    <w:rsid w:val="00594CC3"/>
    <w:rsid w:val="005E083B"/>
    <w:rsid w:val="00A00291"/>
    <w:rsid w:val="00BF2549"/>
    <w:rsid w:val="00DE3371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purl.org/dc/dcmitype/"/>
    <ds:schemaRef ds:uri="581cfee2-c630-4554-92b2-68787b9159cf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91f26e49-f70c-446a-af9a-0186764ea1fa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5F1F0C-BF87-4D5F-9FC3-7959E2769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529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59</cp:revision>
  <cp:lastPrinted>2025-05-27T09:12:00Z</cp:lastPrinted>
  <dcterms:created xsi:type="dcterms:W3CDTF">2025-05-25T20:53:00Z</dcterms:created>
  <dcterms:modified xsi:type="dcterms:W3CDTF">2025-05-27T10:01:00Z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