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C3F7BE3" w14:textId="77777777" w:rsidR="00BE103D" w:rsidRPr="00BE103D" w:rsidRDefault="00025BF3" w:rsidP="00BE103D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E103D" w:rsidRPr="00BE103D">
        <w:rPr>
          <w:rFonts w:asciiTheme="minorHAnsi" w:hAnsiTheme="minorHAnsi" w:cstheme="minorHAnsi"/>
          <w:sz w:val="22"/>
          <w:szCs w:val="22"/>
        </w:rPr>
        <w:t>Václav Raška</w:t>
      </w:r>
    </w:p>
    <w:p w14:paraId="7BEB1D07" w14:textId="6A06E6B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E103D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1850655B" w14:textId="77777777" w:rsidR="00BE103D" w:rsidRPr="00BE103D" w:rsidRDefault="00025BF3" w:rsidP="00BE103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E103D" w:rsidRPr="00BE103D">
        <w:rPr>
          <w:rFonts w:cstheme="minorHAnsi"/>
        </w:rPr>
        <w:t>Změny v legislativě doplňkového penzijního spoření v roce 2024 a jejich dopad na účastníky</w:t>
      </w:r>
    </w:p>
    <w:p w14:paraId="07FD52EA" w14:textId="6496C215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E103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142B26" w:rsidR="000E094A" w:rsidRDefault="00BE10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D79EA12" w:rsidR="000E094A" w:rsidRPr="000E094A" w:rsidRDefault="00BE103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498A">
              <w:t>Cíle práce jsou srozumitelně formulovány a jasně vymezují zaměření na dopady legislativních změn v oblasti DPS. Autor zvolil vhodné metody zpracování, včetně regresní analýzy a neparametrických testů, jejichž volbu věcně zdůvodnil.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256F5B" w:rsidR="000E094A" w:rsidRDefault="00BE10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F83FA9A" w:rsidR="000E094A" w:rsidRPr="000E094A" w:rsidRDefault="00BE103D" w:rsidP="00BE103D">
            <w:pPr>
              <w:spacing w:after="160" w:line="259" w:lineRule="auto"/>
              <w:rPr>
                <w:rFonts w:cstheme="minorHAnsi"/>
              </w:rPr>
            </w:pPr>
            <w:r w:rsidRPr="00DF1EDE">
              <w:t>Autor shrnuje vývoj doplňkového penzijního spoření a legislativní rámec platný v ČR. Použité</w:t>
            </w:r>
            <w:r>
              <w:t xml:space="preserve"> jsou převážně české</w:t>
            </w:r>
            <w:r w:rsidRPr="00DF1EDE">
              <w:t xml:space="preserve"> zdroje, především zákony, vládní dokumenty a odborně-populární publikace. V práci chybí hlubší využití zahraniční odborné literatury a odborných studií v impaktovaných časopisech, které by mohly poskytnout širší kontext a přinést relevantní komparativní poznatky. Teoretická část je přehledná a srozumitelná, nicméně by mohla být více rozšířena o teoretická východiska z oblasti behaviorální ekonomie, motivací ke spoření a investičního rozhodování.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B164140" w:rsidR="000E094A" w:rsidRDefault="002A4E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33FB9E" w14:textId="77777777" w:rsidR="002A4EE9" w:rsidRPr="002A4EE9" w:rsidRDefault="002A4EE9" w:rsidP="002A4E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4EE9">
              <w:rPr>
                <w:rFonts w:cstheme="minorHAnsi"/>
              </w:rPr>
              <w:t>Autor pracuje s relevantními daty a pečlivě provádí regresní a srovnávací testy. Výsledky jsou přehledně interpretovány, a závěry odpovídají výstupům statistického zkoumání. Oceňuji systematické testování předpokladů i využití několika typů analýz ke zvýšení robustnosti výsledků.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F596385" w:rsidR="000E094A" w:rsidRDefault="00873A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C1F714D" w14:textId="77777777" w:rsidR="00873AD5" w:rsidRPr="00873AD5" w:rsidRDefault="00873AD5" w:rsidP="00873AD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73AD5">
              <w:rPr>
                <w:rFonts w:cstheme="minorHAnsi"/>
              </w:rPr>
              <w:t>Ačkoliv autor prezentuje řadu zajímavých kvantitativních poznatků, práce se zaměřuje výlučně na dopady legislativních změn a opomíjí jiné podstatné determinanty chování účastníků. Chybí analýza výkonnosti jednotlivých fondů a její vliv na motivaci ke vstupu nebo změně strategie. Rovněž není reflektována role očekávání účastníků, jejich vztah k riziku, možnost volby investiční strategie ani míra atraktivity DPS ve srovnání s jinými investičními alternativami. Tyto aspekty by přitom mohly významně ovlivnit interpretaci zjištěných změn.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BAC3E29" w:rsidR="000E094A" w:rsidRDefault="00F327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66E405" w14:textId="77777777" w:rsidR="00F327D3" w:rsidRPr="00F327D3" w:rsidRDefault="00F327D3" w:rsidP="00F327D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327D3">
              <w:rPr>
                <w:rFonts w:cstheme="minorHAnsi"/>
              </w:rPr>
              <w:t>Text je logicky strukturován a přehledný. Použitá terminologie je správná, jazyková i grafická úroveň práce je velmi dobrá. Citace odpovídají formálním požadavkům.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808F7A8" w:rsidR="009C7318" w:rsidRDefault="00F444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0795368D" w14:textId="77777777" w:rsidR="00F92C79" w:rsidRDefault="00DE32A0" w:rsidP="00977E99">
            <w:r w:rsidRPr="00A25839">
              <w:t>Bakalářská práce je tematicky aktuální</w:t>
            </w:r>
            <w:r>
              <w:t>.</w:t>
            </w:r>
            <w:r w:rsidRPr="00A25839">
              <w:t xml:space="preserve"> Autor prokázal schopnost samostatně pracovat s daty a aplikovat vhodné statistické metody. Silnou stránkou práce je </w:t>
            </w:r>
            <w:r w:rsidR="00F44470">
              <w:t>kvalitně</w:t>
            </w:r>
            <w:r w:rsidRPr="00A25839">
              <w:t xml:space="preserve"> provedená analýza a správné použití regresní i neparametrické statistiky.</w:t>
            </w:r>
            <w:r>
              <w:t xml:space="preserve"> J</w:t>
            </w:r>
            <w:r w:rsidRPr="00B51AFB">
              <w:t xml:space="preserve">ejí vypovídací hodnota je </w:t>
            </w:r>
            <w:r w:rsidR="00F44470">
              <w:t xml:space="preserve">však </w:t>
            </w:r>
            <w:r w:rsidRPr="00B51AFB">
              <w:t>limitována jednostranným zaměřením na legislativní aspekt bez hlubšího rozboru motivačních faktorů chování účastníků.</w:t>
            </w:r>
            <w:r w:rsidR="00F44470">
              <w:t xml:space="preserve"> </w:t>
            </w:r>
          </w:p>
          <w:p w14:paraId="4FC68188" w14:textId="4139AD51" w:rsidR="00977E99" w:rsidRPr="000E094A" w:rsidRDefault="00977E99" w:rsidP="00977E99">
            <w:pPr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4F1A841" w:rsidR="009C7318" w:rsidRPr="00E26D8B" w:rsidRDefault="00F44470" w:rsidP="00211C8B">
      <w:pPr>
        <w:numPr>
          <w:ilvl w:val="0"/>
          <w:numId w:val="4"/>
        </w:numPr>
        <w:spacing w:after="120" w:line="240" w:lineRule="auto"/>
        <w:ind w:left="714" w:hanging="357"/>
        <w:jc w:val="both"/>
      </w:pPr>
      <w:r w:rsidRPr="00E26D8B">
        <w:t>Jakým způsobem by podle Vás mohla výkonnost fondů ovlivnit chování účastníků DPS? Proč jste tento faktor v analýze nezohlednil?</w:t>
      </w:r>
    </w:p>
    <w:p w14:paraId="40336D8A" w14:textId="77777777" w:rsidR="00F44470" w:rsidRPr="00E26D8B" w:rsidRDefault="00F44470" w:rsidP="00F44470">
      <w:pPr>
        <w:numPr>
          <w:ilvl w:val="0"/>
          <w:numId w:val="4"/>
        </w:numPr>
      </w:pPr>
      <w:r w:rsidRPr="00E26D8B">
        <w:t>Uvažoval jste o zařazení proměnné měřící atraktivitu výnosu fondů nebo marketingových kampaní?</w:t>
      </w:r>
    </w:p>
    <w:p w14:paraId="1991DEDB" w14:textId="6528DFFE" w:rsidR="005C4ACA" w:rsidRPr="00E26D8B" w:rsidRDefault="00A14EB2" w:rsidP="00EE395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 w:rsidRPr="00E26D8B">
        <w:t>Jaké metody byste doporučil využít při budoucím výzkumu zaměřeném na měření behaviorálních faktorů, jako je postoj k riziku či finanční gramotnost účastníků DPS?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922553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14EB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14EB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  <w:bookmarkStart w:id="2" w:name="_GoBack"/>
      <w:bookmarkEnd w:id="2"/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92D8B1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14EB2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2D582" w14:textId="77777777" w:rsidR="00804711" w:rsidRDefault="00804711" w:rsidP="00A40E93">
      <w:pPr>
        <w:spacing w:after="0" w:line="240" w:lineRule="auto"/>
      </w:pPr>
      <w:r>
        <w:separator/>
      </w:r>
    </w:p>
  </w:endnote>
  <w:endnote w:type="continuationSeparator" w:id="0">
    <w:p w14:paraId="2A7856CF" w14:textId="77777777" w:rsidR="00804711" w:rsidRDefault="0080471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3BAFD" w14:textId="77777777" w:rsidR="00804711" w:rsidRDefault="00804711" w:rsidP="00A40E93">
      <w:pPr>
        <w:spacing w:after="0" w:line="240" w:lineRule="auto"/>
      </w:pPr>
      <w:r>
        <w:separator/>
      </w:r>
    </w:p>
  </w:footnote>
  <w:footnote w:type="continuationSeparator" w:id="0">
    <w:p w14:paraId="7B030451" w14:textId="77777777" w:rsidR="00804711" w:rsidRDefault="0080471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A43BE"/>
    <w:multiLevelType w:val="multilevel"/>
    <w:tmpl w:val="1072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57EAC"/>
    <w:rsid w:val="0029651C"/>
    <w:rsid w:val="002A4EE9"/>
    <w:rsid w:val="002D47A3"/>
    <w:rsid w:val="00490124"/>
    <w:rsid w:val="004D378C"/>
    <w:rsid w:val="005A3B4A"/>
    <w:rsid w:val="005C4ACA"/>
    <w:rsid w:val="0067082B"/>
    <w:rsid w:val="00694399"/>
    <w:rsid w:val="0073639B"/>
    <w:rsid w:val="007553A6"/>
    <w:rsid w:val="007F1BC8"/>
    <w:rsid w:val="00804711"/>
    <w:rsid w:val="00823904"/>
    <w:rsid w:val="0085398A"/>
    <w:rsid w:val="00873AD5"/>
    <w:rsid w:val="008B781B"/>
    <w:rsid w:val="00974EA2"/>
    <w:rsid w:val="00977E99"/>
    <w:rsid w:val="00987B93"/>
    <w:rsid w:val="009C322A"/>
    <w:rsid w:val="009C7318"/>
    <w:rsid w:val="00A14575"/>
    <w:rsid w:val="00A14EB2"/>
    <w:rsid w:val="00A40E93"/>
    <w:rsid w:val="00A7527E"/>
    <w:rsid w:val="00B14451"/>
    <w:rsid w:val="00B70D7B"/>
    <w:rsid w:val="00BA16DD"/>
    <w:rsid w:val="00BA7666"/>
    <w:rsid w:val="00BE103D"/>
    <w:rsid w:val="00C27492"/>
    <w:rsid w:val="00CA34A9"/>
    <w:rsid w:val="00CB38CC"/>
    <w:rsid w:val="00CD12C3"/>
    <w:rsid w:val="00CE55BD"/>
    <w:rsid w:val="00DC7D52"/>
    <w:rsid w:val="00DE32A0"/>
    <w:rsid w:val="00E22423"/>
    <w:rsid w:val="00E26D8B"/>
    <w:rsid w:val="00E7633F"/>
    <w:rsid w:val="00EF1720"/>
    <w:rsid w:val="00F327D3"/>
    <w:rsid w:val="00F4447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BE10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1090"/>
    <w:rsid w:val="00257EAC"/>
    <w:rsid w:val="00510546"/>
    <w:rsid w:val="005E083B"/>
    <w:rsid w:val="00986CC7"/>
    <w:rsid w:val="00A65661"/>
    <w:rsid w:val="00A7255F"/>
    <w:rsid w:val="00BA7666"/>
    <w:rsid w:val="00CB38CC"/>
    <w:rsid w:val="00CC14B8"/>
    <w:rsid w:val="00DF3B10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2025-05-28T17:53:00Z</dcterms:created>
  <dcterms:modified xsi:type="dcterms:W3CDTF">2025-05-28T17:53:00Z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