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CB8" w:rsidRPr="000F2F55" w:rsidRDefault="00962CB8" w:rsidP="00962CB8">
      <w:pP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Univerzita Tomáše Bati ve Zlíně</w:t>
      </w:r>
    </w:p>
    <w:p w:rsidR="00962CB8" w:rsidRPr="000F2F55" w:rsidRDefault="00962CB8" w:rsidP="00962CB8">
      <w:pPr>
        <w:pBdr>
          <w:bottom w:val="single" w:sz="4" w:space="1" w:color="auto"/>
        </w:pBd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Fakulta multimediálních komunikací</w:t>
      </w:r>
    </w:p>
    <w:p w:rsidR="00962CB8" w:rsidRPr="000F2F55" w:rsidRDefault="00962CB8" w:rsidP="00962CB8">
      <w:pPr>
        <w:jc w:val="center"/>
        <w:rPr>
          <w:rFonts w:asciiTheme="minorHAnsi" w:hAnsiTheme="minorHAnsi"/>
          <w:b/>
          <w:sz w:val="24"/>
          <w:szCs w:val="24"/>
        </w:rPr>
      </w:pPr>
    </w:p>
    <w:p w:rsidR="00962CB8" w:rsidRDefault="00962CB8" w:rsidP="00962CB8">
      <w:pPr>
        <w:jc w:val="center"/>
        <w:rPr>
          <w:rFonts w:asciiTheme="minorHAnsi" w:hAnsiTheme="minorHAnsi"/>
          <w:b/>
          <w:sz w:val="32"/>
          <w:szCs w:val="32"/>
        </w:rPr>
      </w:pPr>
      <w:r w:rsidRPr="000F2F55">
        <w:rPr>
          <w:rFonts w:asciiTheme="minorHAnsi" w:hAnsiTheme="minorHAnsi"/>
          <w:b/>
          <w:sz w:val="32"/>
          <w:szCs w:val="32"/>
        </w:rPr>
        <w:t xml:space="preserve">Hodnocení </w:t>
      </w:r>
      <w:r>
        <w:rPr>
          <w:rFonts w:asciiTheme="minorHAnsi" w:hAnsiTheme="minorHAnsi"/>
          <w:b/>
          <w:sz w:val="32"/>
          <w:szCs w:val="32"/>
        </w:rPr>
        <w:t>oponenta</w:t>
      </w:r>
      <w:r w:rsidRPr="000F2F55">
        <w:rPr>
          <w:rFonts w:asciiTheme="minorHAnsi" w:hAnsiTheme="minorHAnsi"/>
          <w:b/>
          <w:sz w:val="32"/>
          <w:szCs w:val="32"/>
        </w:rPr>
        <w:t xml:space="preserve"> bakalářské práce</w:t>
      </w:r>
    </w:p>
    <w:p w:rsidR="00962CB8" w:rsidRPr="000F2F55" w:rsidRDefault="00962CB8" w:rsidP="00962CB8">
      <w:pPr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988"/>
        <w:gridCol w:w="4500"/>
        <w:gridCol w:w="2160"/>
      </w:tblGrid>
      <w:tr w:rsidR="00962CB8" w:rsidRPr="000F2F55" w:rsidTr="00C82D67">
        <w:tc>
          <w:tcPr>
            <w:tcW w:w="2988" w:type="dxa"/>
          </w:tcPr>
          <w:p w:rsidR="00962CB8" w:rsidRPr="000F2F55" w:rsidRDefault="00962CB8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Jméno a příjmení studenta</w:t>
            </w:r>
          </w:p>
        </w:tc>
        <w:tc>
          <w:tcPr>
            <w:tcW w:w="6660" w:type="dxa"/>
            <w:gridSpan w:val="2"/>
          </w:tcPr>
          <w:p w:rsidR="00962CB8" w:rsidRPr="000F2F55" w:rsidRDefault="00962CB8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Ludmila Slezáková</w:t>
            </w:r>
          </w:p>
        </w:tc>
      </w:tr>
      <w:tr w:rsidR="00962CB8" w:rsidRPr="000F2F55" w:rsidTr="00C82D67">
        <w:tc>
          <w:tcPr>
            <w:tcW w:w="2988" w:type="dxa"/>
          </w:tcPr>
          <w:p w:rsidR="00962CB8" w:rsidRPr="000F2F55" w:rsidRDefault="00962CB8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Vedoucí práce</w:t>
            </w:r>
          </w:p>
        </w:tc>
        <w:tc>
          <w:tcPr>
            <w:tcW w:w="6660" w:type="dxa"/>
            <w:gridSpan w:val="2"/>
          </w:tcPr>
          <w:p w:rsidR="00962CB8" w:rsidRPr="000F2F55" w:rsidRDefault="00962CB8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PhDr. Pavla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Kotyzová</w:t>
            </w:r>
            <w:proofErr w:type="spellEnd"/>
          </w:p>
        </w:tc>
      </w:tr>
      <w:tr w:rsidR="00962CB8" w:rsidRPr="000F2F55" w:rsidTr="00C82D67">
        <w:tc>
          <w:tcPr>
            <w:tcW w:w="2988" w:type="dxa"/>
          </w:tcPr>
          <w:p w:rsidR="00962CB8" w:rsidRPr="000F2F55" w:rsidRDefault="00962CB8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Obor/ateliér</w:t>
            </w:r>
          </w:p>
        </w:tc>
        <w:tc>
          <w:tcPr>
            <w:tcW w:w="6660" w:type="dxa"/>
            <w:gridSpan w:val="2"/>
          </w:tcPr>
          <w:p w:rsidR="00962CB8" w:rsidRPr="000F2F55" w:rsidRDefault="00962CB8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Marketingové komunikace</w:t>
            </w:r>
          </w:p>
        </w:tc>
      </w:tr>
      <w:tr w:rsidR="00962CB8" w:rsidRPr="000F2F55" w:rsidTr="00C82D67">
        <w:tc>
          <w:tcPr>
            <w:tcW w:w="2988" w:type="dxa"/>
          </w:tcPr>
          <w:p w:rsidR="00962CB8" w:rsidRPr="000F2F55" w:rsidRDefault="00962CB8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</w:t>
            </w: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orma studia</w:t>
            </w:r>
          </w:p>
        </w:tc>
        <w:tc>
          <w:tcPr>
            <w:tcW w:w="4500" w:type="dxa"/>
          </w:tcPr>
          <w:p w:rsidR="00962CB8" w:rsidRPr="000F2F55" w:rsidRDefault="00962CB8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KS                                                                </w:t>
            </w:r>
            <w:proofErr w:type="spellStart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Akad</w:t>
            </w:r>
            <w:proofErr w:type="spellEnd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. rok</w:t>
            </w:r>
          </w:p>
        </w:tc>
        <w:tc>
          <w:tcPr>
            <w:tcW w:w="2160" w:type="dxa"/>
          </w:tcPr>
          <w:p w:rsidR="00962CB8" w:rsidRPr="000F2F55" w:rsidRDefault="00962CB8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2008/9</w:t>
            </w:r>
          </w:p>
        </w:tc>
      </w:tr>
      <w:tr w:rsidR="00962CB8" w:rsidRPr="000F2F55" w:rsidTr="00C82D67">
        <w:tc>
          <w:tcPr>
            <w:tcW w:w="2988" w:type="dxa"/>
          </w:tcPr>
          <w:p w:rsidR="00962CB8" w:rsidRPr="000F2F55" w:rsidRDefault="00962CB8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962CB8" w:rsidRPr="000F2F55" w:rsidRDefault="00962CB8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962CB8" w:rsidRPr="000F2F55" w:rsidTr="00C82D67">
        <w:tc>
          <w:tcPr>
            <w:tcW w:w="2988" w:type="dxa"/>
          </w:tcPr>
          <w:p w:rsidR="00962CB8" w:rsidRPr="000F2F55" w:rsidRDefault="00962CB8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Název práce</w:t>
            </w:r>
          </w:p>
        </w:tc>
        <w:tc>
          <w:tcPr>
            <w:tcW w:w="6660" w:type="dxa"/>
            <w:gridSpan w:val="2"/>
          </w:tcPr>
          <w:p w:rsidR="00962CB8" w:rsidRPr="000F2F55" w:rsidRDefault="00962CB8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Věrnostní programy sázkových kanceláři v ČR</w:t>
            </w:r>
          </w:p>
        </w:tc>
      </w:tr>
      <w:tr w:rsidR="00962CB8" w:rsidRPr="000F2F55" w:rsidTr="00C82D67">
        <w:tc>
          <w:tcPr>
            <w:tcW w:w="2988" w:type="dxa"/>
          </w:tcPr>
          <w:p w:rsidR="00962CB8" w:rsidRPr="000F2F55" w:rsidRDefault="00962CB8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962CB8" w:rsidRPr="000F2F55" w:rsidRDefault="00962CB8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962CB8" w:rsidRPr="000F2F55" w:rsidRDefault="00962CB8" w:rsidP="00962CB8">
      <w:pPr>
        <w:jc w:val="both"/>
        <w:rPr>
          <w:rFonts w:asciiTheme="minorHAnsi" w:hAnsiTheme="minorHAnsi"/>
          <w:sz w:val="24"/>
          <w:szCs w:val="24"/>
        </w:rPr>
      </w:pPr>
    </w:p>
    <w:p w:rsidR="00962CB8" w:rsidRPr="000F2F55" w:rsidRDefault="00962CB8" w:rsidP="00962CB8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A – hodnotí náročnost tématu, nikoli zpracování</w:t>
      </w:r>
    </w:p>
    <w:p w:rsidR="00962CB8" w:rsidRPr="000F2F55" w:rsidRDefault="00962CB8" w:rsidP="00962CB8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720" w:type="dxa"/>
        <w:tblInd w:w="-15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400"/>
        <w:gridCol w:w="1440"/>
        <w:gridCol w:w="1440"/>
        <w:gridCol w:w="1440"/>
      </w:tblGrid>
      <w:tr w:rsidR="00962CB8" w:rsidRPr="000F2F55" w:rsidTr="00C82D67">
        <w:trPr>
          <w:trHeight w:val="293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962CB8" w:rsidRPr="000F2F55" w:rsidTr="00C82D67">
        <w:trPr>
          <w:trHeight w:val="307"/>
        </w:trPr>
        <w:tc>
          <w:tcPr>
            <w:tcW w:w="5400" w:type="dxa"/>
            <w:tcBorders>
              <w:left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Hodnocení </w:t>
            </w:r>
            <w:r w:rsidRPr="000F2F55">
              <w:rPr>
                <w:rFonts w:asciiTheme="minorHAnsi" w:hAnsiTheme="minorHAnsi"/>
                <w:b/>
                <w:snapToGrid w:val="0"/>
                <w:color w:val="000000"/>
                <w:sz w:val="22"/>
                <w:szCs w:val="22"/>
              </w:rPr>
              <w:t>náročnosti tématu</w:t>
            </w: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2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962CB8" w:rsidRPr="000F2F55" w:rsidTr="00C82D67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962CB8" w:rsidRPr="000F2F55" w:rsidRDefault="00962CB8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                                                                          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</w:tr>
      <w:tr w:rsidR="00962CB8" w:rsidRPr="000F2F55" w:rsidTr="00C82D67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962CB8" w:rsidRPr="000F2F55" w:rsidRDefault="00962CB8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Teoretické znalosti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962CB8" w:rsidRPr="000F2F55" w:rsidTr="00C82D67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962CB8" w:rsidRPr="000F2F55" w:rsidRDefault="00962CB8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Praktické zkušenosti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962CB8" w:rsidRPr="000F2F55" w:rsidTr="00C82D67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962CB8" w:rsidRPr="000F2F55" w:rsidRDefault="00962CB8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Sběr a zpracování podkladů a vstupních dat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962CB8" w:rsidRPr="000F2F55" w:rsidTr="00C82D67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</w:tcBorders>
          </w:tcPr>
          <w:p w:rsidR="00962CB8" w:rsidRPr="000F2F55" w:rsidRDefault="00962CB8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Specifické nároky tématu (originalita, rozsah,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</w:tcBorders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962CB8" w:rsidRPr="000F2F55" w:rsidTr="00C82D67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962CB8" w:rsidRPr="000F2F55" w:rsidRDefault="00962CB8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statistické zpracování dat, interpretace závěrů apod.)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6" w:space="0" w:color="auto"/>
            </w:tcBorders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962CB8" w:rsidRPr="000F2F55" w:rsidRDefault="00962CB8" w:rsidP="00962CB8">
      <w:pPr>
        <w:jc w:val="both"/>
        <w:rPr>
          <w:rFonts w:asciiTheme="minorHAnsi" w:hAnsiTheme="minorHAnsi"/>
          <w:sz w:val="24"/>
          <w:szCs w:val="24"/>
        </w:rPr>
      </w:pPr>
    </w:p>
    <w:p w:rsidR="00962CB8" w:rsidRPr="000F2F55" w:rsidRDefault="00962CB8" w:rsidP="00962CB8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B – hodnotí úroveň zpracování tématu</w:t>
      </w:r>
    </w:p>
    <w:p w:rsidR="00962CB8" w:rsidRPr="000F2F55" w:rsidRDefault="00962CB8" w:rsidP="00962CB8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82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1466"/>
        <w:gridCol w:w="1466"/>
        <w:gridCol w:w="1466"/>
        <w:gridCol w:w="1466"/>
      </w:tblGrid>
      <w:tr w:rsidR="00962CB8" w:rsidRPr="000F2F55" w:rsidTr="00C82D67">
        <w:trPr>
          <w:trHeight w:val="192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86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962CB8" w:rsidRPr="000F2F55" w:rsidTr="00C82D67">
        <w:trPr>
          <w:trHeight w:val="274"/>
        </w:trPr>
        <w:tc>
          <w:tcPr>
            <w:tcW w:w="3818" w:type="dxa"/>
            <w:tcBorders>
              <w:left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Kritéria hodnocení práce:</w:t>
            </w:r>
          </w:p>
        </w:tc>
        <w:tc>
          <w:tcPr>
            <w:tcW w:w="5864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962CB8" w:rsidRPr="000F2F55" w:rsidTr="00C82D67">
        <w:trPr>
          <w:trHeight w:val="274"/>
        </w:trPr>
        <w:tc>
          <w:tcPr>
            <w:tcW w:w="38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nelze hodnotit</w:t>
            </w:r>
          </w:p>
        </w:tc>
      </w:tr>
      <w:tr w:rsidR="00962CB8" w:rsidRPr="000F2F55" w:rsidTr="00C82D67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Splnění cíle práce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962CB8" w:rsidRPr="000F2F55" w:rsidTr="00C82D67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Samostatnost při zpracování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</w:tr>
      <w:tr w:rsidR="00962CB8" w:rsidRPr="000F2F55" w:rsidTr="00C82D67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Metodologická kvalita postupu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962CB8" w:rsidRPr="000F2F55" w:rsidTr="00C82D67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teoretické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962CB8" w:rsidRPr="000F2F55" w:rsidTr="00C82D67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Práce s literaturou (citace)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962CB8" w:rsidRPr="000F2F55" w:rsidTr="00C82D67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analytické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962CB8" w:rsidRPr="000F2F55" w:rsidTr="00C82D67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Adekvátnost použitých metod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962CB8" w:rsidRPr="000F2F55" w:rsidTr="00C82D67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sz w:val="22"/>
                <w:szCs w:val="22"/>
              </w:rPr>
              <w:t>Úroveň návrhu  řešení  (realizace)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962CB8" w:rsidRPr="000F2F55" w:rsidTr="00C82D67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Jazyková úroveň práce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962CB8" w:rsidRPr="000F2F55" w:rsidTr="00C82D67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Formální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úroveň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 (text,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grafy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tabulky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</w:tr>
      <w:tr w:rsidR="00962CB8" w:rsidRPr="000F2F55" w:rsidTr="00C82D67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Přehled literatury (rozsah, kvalita)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962CB8" w:rsidRPr="000F2F55" w:rsidTr="00C82D67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0F2F55" w:rsidRDefault="00962CB8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Jiné kritérium (novost,  přínos praxi)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CB8" w:rsidRPr="00D551A2" w:rsidRDefault="00962CB8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</w:tbl>
    <w:p w:rsidR="00962CB8" w:rsidRPr="000F2F55" w:rsidRDefault="00962CB8" w:rsidP="00962CB8">
      <w:pPr>
        <w:rPr>
          <w:rFonts w:asciiTheme="minorHAnsi" w:hAnsiTheme="minorHAnsi"/>
          <w:sz w:val="24"/>
          <w:szCs w:val="24"/>
        </w:rPr>
      </w:pPr>
    </w:p>
    <w:p w:rsidR="00962CB8" w:rsidRPr="000F2F55" w:rsidRDefault="00962CB8" w:rsidP="00962CB8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Hodnocení v jednotlivých kritériích označte znakem </w:t>
      </w:r>
      <w:r w:rsidRPr="000F2F55">
        <w:rPr>
          <w:rFonts w:asciiTheme="minorHAnsi" w:hAnsiTheme="minorHAnsi"/>
          <w:b/>
          <w:sz w:val="24"/>
          <w:szCs w:val="24"/>
        </w:rPr>
        <w:t>X)</w:t>
      </w:r>
      <w:r w:rsidRPr="000F2F55">
        <w:rPr>
          <w:rFonts w:asciiTheme="minorHAnsi" w:hAnsiTheme="minorHAnsi"/>
          <w:sz w:val="24"/>
          <w:szCs w:val="24"/>
        </w:rPr>
        <w:t xml:space="preserve"> v příslušné úrovni.</w:t>
      </w:r>
    </w:p>
    <w:p w:rsidR="00962CB8" w:rsidRPr="000F2F55" w:rsidRDefault="00962CB8" w:rsidP="00962CB8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>(Obraťte, prosím, list a pokračujte v hodnocení na druhé straně formuláře.)</w:t>
      </w:r>
    </w:p>
    <w:p w:rsidR="00962CB8" w:rsidRDefault="00962CB8" w:rsidP="00962CB8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962CB8" w:rsidRDefault="00962CB8" w:rsidP="00962CB8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962CB8" w:rsidRPr="000F2F55" w:rsidRDefault="00962CB8" w:rsidP="00962CB8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  <w:r w:rsidRPr="000F2F55">
        <w:rPr>
          <w:rFonts w:asciiTheme="minorHAnsi" w:hAnsiTheme="minorHAnsi"/>
          <w:b/>
          <w:sz w:val="24"/>
          <w:szCs w:val="24"/>
          <w:lang w:val="pl-PL"/>
        </w:rPr>
        <w:lastRenderedPageBreak/>
        <w:t>Připomínky a otázky k obhajobě:</w:t>
      </w:r>
    </w:p>
    <w:p w:rsidR="00962CB8" w:rsidRDefault="00962CB8" w:rsidP="00962CB8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754FED" w:rsidRDefault="00D07876" w:rsidP="00962CB8">
      <w:p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</w:t>
      </w:r>
      <w:r w:rsidR="00754FED">
        <w:rPr>
          <w:rFonts w:asciiTheme="minorHAnsi" w:hAnsiTheme="minorHAnsi"/>
          <w:sz w:val="24"/>
          <w:szCs w:val="24"/>
          <w:lang w:val="pl-PL"/>
        </w:rPr>
        <w:t>Cílem bakalářské práce je zjistit, zda jsou věrnostní programy sázkových kanceláří efektivním nástrojem podpory prodeje.</w:t>
      </w:r>
    </w:p>
    <w:p w:rsidR="00754FED" w:rsidRDefault="00D07876" w:rsidP="00962CB8">
      <w:p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</w:t>
      </w:r>
      <w:r w:rsidR="00754FED">
        <w:rPr>
          <w:rFonts w:asciiTheme="minorHAnsi" w:hAnsiTheme="minorHAnsi"/>
          <w:sz w:val="24"/>
          <w:szCs w:val="24"/>
          <w:lang w:val="pl-PL"/>
        </w:rPr>
        <w:t xml:space="preserve">Autorka v teoretické části logicky postupuje od představení základních typů podpory prodeje, přes její cíle a nástroje k detailnímu a kvalifikovanému popisu věrnostních programů.  </w:t>
      </w:r>
      <w:r w:rsidR="00D349C2">
        <w:rPr>
          <w:rFonts w:asciiTheme="minorHAnsi" w:hAnsiTheme="minorHAnsi"/>
          <w:sz w:val="24"/>
          <w:szCs w:val="24"/>
          <w:lang w:val="pl-PL"/>
        </w:rPr>
        <w:t>Závěrem neopomíná zvýraznit význam a způsob měření efektivity věrnostních programů. Formuluje hypotézy. H1 by si zasloužila přesněji vymezit</w:t>
      </w:r>
      <w:r w:rsidR="00F77989">
        <w:rPr>
          <w:rFonts w:asciiTheme="minorHAnsi" w:hAnsiTheme="minorHAnsi"/>
          <w:sz w:val="24"/>
          <w:szCs w:val="24"/>
          <w:lang w:val="pl-PL"/>
        </w:rPr>
        <w:t>, výklad ji znejasňuje.</w:t>
      </w:r>
    </w:p>
    <w:p w:rsidR="00754FED" w:rsidRDefault="00D07876" w:rsidP="00962CB8">
      <w:p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</w:t>
      </w:r>
      <w:r w:rsidR="00754FED">
        <w:rPr>
          <w:rFonts w:asciiTheme="minorHAnsi" w:hAnsiTheme="minorHAnsi"/>
          <w:sz w:val="24"/>
          <w:szCs w:val="24"/>
          <w:lang w:val="pl-PL"/>
        </w:rPr>
        <w:t xml:space="preserve">Teoretická východiska propojila s </w:t>
      </w:r>
      <w:r w:rsidR="00F77989">
        <w:rPr>
          <w:rFonts w:asciiTheme="minorHAnsi" w:hAnsiTheme="minorHAnsi"/>
          <w:sz w:val="24"/>
          <w:szCs w:val="24"/>
          <w:lang w:val="pl-PL"/>
        </w:rPr>
        <w:t>praktickou</w:t>
      </w:r>
      <w:r w:rsidR="00754FED">
        <w:rPr>
          <w:rFonts w:asciiTheme="minorHAnsi" w:hAnsiTheme="minorHAnsi"/>
          <w:sz w:val="24"/>
          <w:szCs w:val="24"/>
          <w:lang w:val="pl-PL"/>
        </w:rPr>
        <w:t xml:space="preserve"> části</w:t>
      </w:r>
      <w:r w:rsidR="00F77989">
        <w:rPr>
          <w:rFonts w:asciiTheme="minorHAnsi" w:hAnsiTheme="minorHAnsi"/>
          <w:sz w:val="24"/>
          <w:szCs w:val="24"/>
          <w:lang w:val="pl-PL"/>
        </w:rPr>
        <w:t>, ve které úvodem předkládá charakteristiku výchozí situace, popisuje dva zkoumané subjekty a jejich věrnostní programy, aby se v další kapitole věnovala jejich analýze. V obou</w:t>
      </w:r>
      <w:r w:rsidR="00A207F8">
        <w:rPr>
          <w:rFonts w:asciiTheme="minorHAnsi" w:hAnsiTheme="minorHAnsi"/>
          <w:sz w:val="24"/>
          <w:szCs w:val="24"/>
          <w:lang w:val="pl-PL"/>
        </w:rPr>
        <w:t xml:space="preserve"> analýzách</w:t>
      </w:r>
      <w:r w:rsidR="00F77989">
        <w:rPr>
          <w:rFonts w:asciiTheme="minorHAnsi" w:hAnsiTheme="minorHAnsi"/>
          <w:sz w:val="24"/>
          <w:szCs w:val="24"/>
          <w:lang w:val="pl-PL"/>
        </w:rPr>
        <w:t xml:space="preserve"> pracuje v dotazníkovém šetření se vzorkem 159 respondentů, celkem </w:t>
      </w:r>
      <w:r>
        <w:rPr>
          <w:rFonts w:asciiTheme="minorHAnsi" w:hAnsiTheme="minorHAnsi"/>
          <w:sz w:val="24"/>
          <w:szCs w:val="24"/>
          <w:lang w:val="pl-PL"/>
        </w:rPr>
        <w:t xml:space="preserve">osobně </w:t>
      </w:r>
      <w:r w:rsidR="00F77989">
        <w:rPr>
          <w:rFonts w:asciiTheme="minorHAnsi" w:hAnsiTheme="minorHAnsi"/>
          <w:sz w:val="24"/>
          <w:szCs w:val="24"/>
          <w:lang w:val="pl-PL"/>
        </w:rPr>
        <w:t xml:space="preserve">dotazuje 318 respondentů přímo v pobočkách různého typu daných sázkových kanceláří. </w:t>
      </w:r>
      <w:r w:rsidR="003B767A">
        <w:rPr>
          <w:rFonts w:asciiTheme="minorHAnsi" w:hAnsiTheme="minorHAnsi"/>
          <w:sz w:val="24"/>
          <w:szCs w:val="24"/>
          <w:lang w:val="pl-PL"/>
        </w:rPr>
        <w:t>D</w:t>
      </w:r>
      <w:r>
        <w:rPr>
          <w:rFonts w:asciiTheme="minorHAnsi" w:hAnsiTheme="minorHAnsi"/>
          <w:sz w:val="24"/>
          <w:szCs w:val="24"/>
          <w:lang w:val="pl-PL"/>
        </w:rPr>
        <w:t>ů</w:t>
      </w:r>
      <w:r w:rsidR="003B767A">
        <w:rPr>
          <w:rFonts w:asciiTheme="minorHAnsi" w:hAnsiTheme="minorHAnsi"/>
          <w:sz w:val="24"/>
          <w:szCs w:val="24"/>
          <w:lang w:val="pl-PL"/>
        </w:rPr>
        <w:t>vod k položení každé otázky vysvětluje, výstupy</w:t>
      </w:r>
      <w:r w:rsidR="002A6C28">
        <w:rPr>
          <w:rFonts w:asciiTheme="minorHAnsi" w:hAnsiTheme="minorHAnsi"/>
          <w:sz w:val="24"/>
          <w:szCs w:val="24"/>
          <w:lang w:val="pl-PL"/>
        </w:rPr>
        <w:t xml:space="preserve"> komentuje, z</w:t>
      </w:r>
      <w:r w:rsidR="00F77989">
        <w:rPr>
          <w:rFonts w:asciiTheme="minorHAnsi" w:hAnsiTheme="minorHAnsi"/>
          <w:sz w:val="24"/>
          <w:szCs w:val="24"/>
          <w:lang w:val="pl-PL"/>
        </w:rPr>
        <w:t>ískaná data</w:t>
      </w:r>
      <w:r>
        <w:rPr>
          <w:rFonts w:asciiTheme="minorHAnsi" w:hAnsiTheme="minorHAnsi"/>
          <w:sz w:val="24"/>
          <w:szCs w:val="24"/>
          <w:lang w:val="pl-PL"/>
        </w:rPr>
        <w:t xml:space="preserve"> předkládá v přehledných grafech</w:t>
      </w:r>
      <w:r w:rsidR="00F77989">
        <w:rPr>
          <w:rFonts w:asciiTheme="minorHAnsi" w:hAnsiTheme="minorHAnsi"/>
          <w:sz w:val="24"/>
          <w:szCs w:val="24"/>
          <w:lang w:val="pl-PL"/>
        </w:rPr>
        <w:t xml:space="preserve"> </w:t>
      </w:r>
      <w:r w:rsidR="002A6C28">
        <w:rPr>
          <w:rFonts w:asciiTheme="minorHAnsi" w:hAnsiTheme="minorHAnsi"/>
          <w:sz w:val="24"/>
          <w:szCs w:val="24"/>
          <w:lang w:val="pl-PL"/>
        </w:rPr>
        <w:t>a interpretuje</w:t>
      </w:r>
      <w:r w:rsidR="00F77989">
        <w:rPr>
          <w:rFonts w:asciiTheme="minorHAnsi" w:hAnsiTheme="minorHAnsi"/>
          <w:sz w:val="24"/>
          <w:szCs w:val="24"/>
          <w:lang w:val="pl-PL"/>
        </w:rPr>
        <w:t>.</w:t>
      </w:r>
      <w:r w:rsidR="007D069D">
        <w:rPr>
          <w:rFonts w:asciiTheme="minorHAnsi" w:hAnsiTheme="minorHAnsi"/>
          <w:sz w:val="24"/>
          <w:szCs w:val="24"/>
          <w:lang w:val="pl-PL"/>
        </w:rPr>
        <w:t xml:space="preserve"> </w:t>
      </w:r>
      <w:r w:rsidR="003F2BB7">
        <w:rPr>
          <w:rFonts w:asciiTheme="minorHAnsi" w:hAnsiTheme="minorHAnsi"/>
          <w:sz w:val="24"/>
          <w:szCs w:val="24"/>
          <w:lang w:val="pl-PL"/>
        </w:rPr>
        <w:t xml:space="preserve">Práci charakterizuje důsledná komparace zjištěných poznatků. </w:t>
      </w:r>
      <w:r w:rsidR="007D069D">
        <w:rPr>
          <w:rFonts w:asciiTheme="minorHAnsi" w:hAnsiTheme="minorHAnsi"/>
          <w:sz w:val="24"/>
          <w:szCs w:val="24"/>
          <w:lang w:val="pl-PL"/>
        </w:rPr>
        <w:t xml:space="preserve">Nechybí </w:t>
      </w:r>
      <w:r w:rsidR="003F2BB7">
        <w:rPr>
          <w:rFonts w:asciiTheme="minorHAnsi" w:hAnsiTheme="minorHAnsi"/>
          <w:sz w:val="24"/>
          <w:szCs w:val="24"/>
          <w:lang w:val="pl-PL"/>
        </w:rPr>
        <w:t xml:space="preserve">jejich </w:t>
      </w:r>
      <w:r w:rsidR="007D069D">
        <w:rPr>
          <w:rFonts w:asciiTheme="minorHAnsi" w:hAnsiTheme="minorHAnsi"/>
          <w:sz w:val="24"/>
          <w:szCs w:val="24"/>
          <w:lang w:val="pl-PL"/>
        </w:rPr>
        <w:t>zhodnocení</w:t>
      </w:r>
      <w:r>
        <w:rPr>
          <w:rFonts w:asciiTheme="minorHAnsi" w:hAnsiTheme="minorHAnsi"/>
          <w:sz w:val="24"/>
          <w:szCs w:val="24"/>
          <w:lang w:val="pl-PL"/>
        </w:rPr>
        <w:t>,</w:t>
      </w:r>
      <w:r w:rsidR="007D069D">
        <w:rPr>
          <w:rFonts w:asciiTheme="minorHAnsi" w:hAnsiTheme="minorHAnsi"/>
          <w:sz w:val="24"/>
          <w:szCs w:val="24"/>
          <w:lang w:val="pl-PL"/>
        </w:rPr>
        <w:t xml:space="preserve"> návrhy a doporučení. Hypotézy jsou v závěru ověřeny. Pro větší srozumitelnost by bylo vhodné je</w:t>
      </w:r>
      <w:r w:rsidR="003F2BB7">
        <w:rPr>
          <w:rFonts w:asciiTheme="minorHAnsi" w:hAnsiTheme="minorHAnsi"/>
          <w:sz w:val="24"/>
          <w:szCs w:val="24"/>
          <w:lang w:val="pl-PL"/>
        </w:rPr>
        <w:t>jich znění</w:t>
      </w:r>
      <w:r w:rsidR="007D069D">
        <w:rPr>
          <w:rFonts w:asciiTheme="minorHAnsi" w:hAnsiTheme="minorHAnsi"/>
          <w:sz w:val="24"/>
          <w:szCs w:val="24"/>
          <w:lang w:val="pl-PL"/>
        </w:rPr>
        <w:t xml:space="preserve"> </w:t>
      </w:r>
      <w:r w:rsidR="003F2BB7">
        <w:rPr>
          <w:rFonts w:asciiTheme="minorHAnsi" w:hAnsiTheme="minorHAnsi"/>
          <w:sz w:val="24"/>
          <w:szCs w:val="24"/>
          <w:lang w:val="pl-PL"/>
        </w:rPr>
        <w:t>z</w:t>
      </w:r>
      <w:r w:rsidR="007D069D">
        <w:rPr>
          <w:rFonts w:asciiTheme="minorHAnsi" w:hAnsiTheme="minorHAnsi"/>
          <w:sz w:val="24"/>
          <w:szCs w:val="24"/>
          <w:lang w:val="pl-PL"/>
        </w:rPr>
        <w:t>opakovat.</w:t>
      </w:r>
      <w:r>
        <w:rPr>
          <w:rFonts w:asciiTheme="minorHAnsi" w:hAnsiTheme="minorHAnsi"/>
          <w:sz w:val="24"/>
          <w:szCs w:val="24"/>
          <w:lang w:val="pl-PL"/>
        </w:rPr>
        <w:t xml:space="preserve"> Cíle bylo dosaženo.</w:t>
      </w:r>
    </w:p>
    <w:p w:rsidR="00D07876" w:rsidRDefault="00D07876" w:rsidP="00962CB8">
      <w:p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Studentka využívá značné množství zdrojů, pracuje s nimi podle normy. Formální úroveň bakalářské práce je na vysoké úrovni, </w:t>
      </w:r>
      <w:r w:rsidR="00D106B8">
        <w:rPr>
          <w:rFonts w:asciiTheme="minorHAnsi" w:hAnsiTheme="minorHAnsi"/>
          <w:sz w:val="24"/>
          <w:szCs w:val="24"/>
          <w:lang w:val="pl-PL"/>
        </w:rPr>
        <w:t>je psána kultivovaným jazykem v jasné struktuře. A</w:t>
      </w:r>
      <w:r>
        <w:rPr>
          <w:rFonts w:asciiTheme="minorHAnsi" w:hAnsiTheme="minorHAnsi"/>
          <w:sz w:val="24"/>
          <w:szCs w:val="24"/>
          <w:lang w:val="pl-PL"/>
        </w:rPr>
        <w:t>utorka má představu o možném pokračování.</w:t>
      </w:r>
    </w:p>
    <w:p w:rsidR="006872A8" w:rsidRDefault="006872A8" w:rsidP="00962CB8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D07876" w:rsidRDefault="00D07876" w:rsidP="00962CB8">
      <w:p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>Otázky:</w:t>
      </w:r>
    </w:p>
    <w:p w:rsidR="00D07876" w:rsidRDefault="00583314" w:rsidP="00D07876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>Jaké další marketingové nástroje můžete pro podporu věrnosti značce sázkové kanceláře použít?</w:t>
      </w:r>
    </w:p>
    <w:p w:rsidR="00583314" w:rsidRDefault="00583314" w:rsidP="00D07876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>Uveďte legislativu, vztahující se k sázení.</w:t>
      </w:r>
    </w:p>
    <w:p w:rsidR="003F2BB7" w:rsidRPr="00D07876" w:rsidRDefault="00F64EF2" w:rsidP="00D07876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>Jak lze vytvořit typologii sázkařů? Má to pro sázkové kanceláře význam ? Pokud ano, k čemu ji mohou využít?</w:t>
      </w:r>
    </w:p>
    <w:p w:rsidR="00962CB8" w:rsidRPr="000F2F55" w:rsidRDefault="00962CB8" w:rsidP="00962CB8">
      <w:pPr>
        <w:jc w:val="both"/>
        <w:rPr>
          <w:rFonts w:asciiTheme="minorHAnsi" w:hAnsiTheme="minorHAnsi"/>
          <w:sz w:val="24"/>
          <w:szCs w:val="24"/>
        </w:rPr>
      </w:pPr>
    </w:p>
    <w:p w:rsidR="00962CB8" w:rsidRPr="000F2F55" w:rsidRDefault="00962CB8" w:rsidP="00962CB8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962CB8" w:rsidRPr="00310D58" w:rsidRDefault="00962CB8" w:rsidP="00962CB8">
      <w:pPr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Návrh na klasifikaci bakalářské práce: </w:t>
      </w:r>
      <w:r w:rsidR="00CF5C8B">
        <w:rPr>
          <w:rFonts w:asciiTheme="minorHAnsi" w:hAnsiTheme="minorHAnsi"/>
          <w:b/>
          <w:sz w:val="24"/>
          <w:szCs w:val="24"/>
          <w:lang w:val="pl-PL"/>
        </w:rPr>
        <w:t>A, výborně</w:t>
      </w:r>
      <w:r w:rsidRPr="00310D58">
        <w:rPr>
          <w:rFonts w:asciiTheme="minorHAnsi" w:hAnsiTheme="minorHAnsi"/>
          <w:b/>
          <w:sz w:val="24"/>
          <w:szCs w:val="24"/>
          <w:lang w:val="pl-PL"/>
        </w:rPr>
        <w:t>.</w:t>
      </w:r>
    </w:p>
    <w:p w:rsidR="00962CB8" w:rsidRPr="000F2F55" w:rsidRDefault="00962CB8" w:rsidP="00962CB8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962CB8" w:rsidRPr="000F2F55" w:rsidRDefault="00962CB8" w:rsidP="00962CB8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962CB8" w:rsidRPr="000F2F55" w:rsidRDefault="00962CB8" w:rsidP="00962CB8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Ve Zlíně dne </w:t>
      </w:r>
      <w:r>
        <w:rPr>
          <w:rFonts w:asciiTheme="minorHAnsi" w:hAnsiTheme="minorHAnsi"/>
          <w:sz w:val="24"/>
          <w:szCs w:val="24"/>
          <w:lang w:val="pl-PL"/>
        </w:rPr>
        <w:t>1</w:t>
      </w:r>
      <w:r w:rsidR="00CF5C8B">
        <w:rPr>
          <w:rFonts w:asciiTheme="minorHAnsi" w:hAnsiTheme="minorHAnsi"/>
          <w:sz w:val="24"/>
          <w:szCs w:val="24"/>
          <w:lang w:val="pl-PL"/>
        </w:rPr>
        <w:t>9</w:t>
      </w:r>
      <w:r>
        <w:rPr>
          <w:rFonts w:asciiTheme="minorHAnsi" w:hAnsiTheme="minorHAnsi"/>
          <w:sz w:val="24"/>
          <w:szCs w:val="24"/>
          <w:lang w:val="pl-PL"/>
        </w:rPr>
        <w:t>. 5. 2009</w:t>
      </w:r>
    </w:p>
    <w:p w:rsidR="00962CB8" w:rsidRPr="000F2F55" w:rsidRDefault="00962CB8" w:rsidP="00962CB8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</w:t>
      </w:r>
    </w:p>
    <w:p w:rsidR="00962CB8" w:rsidRPr="000F2F55" w:rsidRDefault="00962CB8" w:rsidP="00962CB8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962CB8" w:rsidRPr="000F2F55" w:rsidRDefault="00962CB8" w:rsidP="00962CB8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962CB8" w:rsidRPr="000F2F55" w:rsidRDefault="00962CB8" w:rsidP="00962CB8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               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.....................................………………………………   </w:t>
      </w:r>
    </w:p>
    <w:p w:rsidR="00962CB8" w:rsidRPr="000F2F55" w:rsidRDefault="00962CB8" w:rsidP="00962CB8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podpis </w:t>
      </w:r>
      <w:r>
        <w:rPr>
          <w:rFonts w:asciiTheme="minorHAnsi" w:hAnsiTheme="minorHAnsi"/>
          <w:sz w:val="24"/>
          <w:szCs w:val="24"/>
          <w:lang w:val="pl-PL"/>
        </w:rPr>
        <w:t>oponenta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 BP</w:t>
      </w:r>
    </w:p>
    <w:p w:rsidR="00962CB8" w:rsidRPr="000F2F55" w:rsidRDefault="00962CB8" w:rsidP="00962CB8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962CB8" w:rsidRPr="000F2F55" w:rsidRDefault="00962CB8" w:rsidP="00962CB8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962CB8" w:rsidRPr="000F2F55" w:rsidRDefault="00962CB8" w:rsidP="00962CB8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962CB8" w:rsidRPr="000F2F55" w:rsidRDefault="00962CB8" w:rsidP="00962CB8">
      <w:pPr>
        <w:jc w:val="both"/>
        <w:rPr>
          <w:rFonts w:asciiTheme="minorHAnsi" w:hAnsiTheme="minorHAnsi"/>
          <w:sz w:val="24"/>
          <w:szCs w:val="24"/>
        </w:rPr>
      </w:pPr>
    </w:p>
    <w:p w:rsidR="00962CB8" w:rsidRPr="000F2F55" w:rsidRDefault="00962CB8" w:rsidP="00962CB8">
      <w:pPr>
        <w:jc w:val="both"/>
        <w:rPr>
          <w:rFonts w:asciiTheme="minorHAnsi" w:hAnsiTheme="minorHAnsi"/>
          <w:sz w:val="24"/>
          <w:szCs w:val="24"/>
        </w:rPr>
      </w:pPr>
    </w:p>
    <w:p w:rsidR="00962CB8" w:rsidRPr="000F2F55" w:rsidRDefault="00962CB8" w:rsidP="00962CB8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Pro klasifikaci použijte tuto stupnici: </w:t>
      </w:r>
    </w:p>
    <w:p w:rsidR="00962CB8" w:rsidRPr="000F2F55" w:rsidRDefault="00962CB8" w:rsidP="00962CB8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88"/>
        <w:gridCol w:w="1588"/>
        <w:gridCol w:w="1588"/>
        <w:gridCol w:w="1588"/>
        <w:gridCol w:w="1588"/>
        <w:gridCol w:w="1670"/>
      </w:tblGrid>
      <w:tr w:rsidR="00962CB8" w:rsidRPr="000F2F55" w:rsidTr="00C82D67">
        <w:trPr>
          <w:trHeight w:val="284"/>
        </w:trPr>
        <w:tc>
          <w:tcPr>
            <w:tcW w:w="1588" w:type="dxa"/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A - výborně</w:t>
            </w:r>
          </w:p>
        </w:tc>
        <w:tc>
          <w:tcPr>
            <w:tcW w:w="1588" w:type="dxa"/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B - velmi dobře</w:t>
            </w:r>
          </w:p>
        </w:tc>
        <w:tc>
          <w:tcPr>
            <w:tcW w:w="1588" w:type="dxa"/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C - dobře</w:t>
            </w:r>
          </w:p>
        </w:tc>
        <w:tc>
          <w:tcPr>
            <w:tcW w:w="1588" w:type="dxa"/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D - uspokojivě</w:t>
            </w:r>
          </w:p>
        </w:tc>
        <w:tc>
          <w:tcPr>
            <w:tcW w:w="1588" w:type="dxa"/>
            <w:shd w:val="clear" w:color="auto" w:fill="auto"/>
          </w:tcPr>
          <w:p w:rsidR="00962CB8" w:rsidRPr="000F2F55" w:rsidRDefault="00962CB8" w:rsidP="00C82D6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E - dostatečně</w:t>
            </w:r>
          </w:p>
        </w:tc>
        <w:tc>
          <w:tcPr>
            <w:tcW w:w="1670" w:type="dxa"/>
            <w:shd w:val="clear" w:color="auto" w:fill="auto"/>
          </w:tcPr>
          <w:p w:rsidR="00962CB8" w:rsidRPr="000F2F55" w:rsidRDefault="00962CB8" w:rsidP="00C82D67">
            <w:pPr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F - nedostatečně</w:t>
            </w:r>
          </w:p>
        </w:tc>
      </w:tr>
    </w:tbl>
    <w:p w:rsidR="00962CB8" w:rsidRPr="000F2F55" w:rsidRDefault="00962CB8" w:rsidP="00962CB8">
      <w:pPr>
        <w:rPr>
          <w:rFonts w:asciiTheme="minorHAnsi" w:hAnsiTheme="minorHAnsi"/>
        </w:rPr>
      </w:pPr>
    </w:p>
    <w:p w:rsidR="00962CB8" w:rsidRDefault="00962CB8" w:rsidP="00962CB8"/>
    <w:sectPr w:rsidR="00962CB8" w:rsidSect="000135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DC0E7B"/>
    <w:multiLevelType w:val="hybridMultilevel"/>
    <w:tmpl w:val="941A38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962CB8"/>
    <w:rsid w:val="000C69F9"/>
    <w:rsid w:val="002A6C28"/>
    <w:rsid w:val="003B767A"/>
    <w:rsid w:val="003F2BB7"/>
    <w:rsid w:val="00583314"/>
    <w:rsid w:val="00610F15"/>
    <w:rsid w:val="006872A8"/>
    <w:rsid w:val="006A5969"/>
    <w:rsid w:val="00754FED"/>
    <w:rsid w:val="007D069D"/>
    <w:rsid w:val="00962CB8"/>
    <w:rsid w:val="00A207F8"/>
    <w:rsid w:val="00BE3A28"/>
    <w:rsid w:val="00CF5C8B"/>
    <w:rsid w:val="00D07876"/>
    <w:rsid w:val="00D106B8"/>
    <w:rsid w:val="00D349C2"/>
    <w:rsid w:val="00E72B2E"/>
    <w:rsid w:val="00F64EF2"/>
    <w:rsid w:val="00F77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2CB8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78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235DC9CF-3543-491A-96D0-AC5BB8423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522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Kotyzová</dc:creator>
  <cp:lastModifiedBy>Pavla Kotyzová</cp:lastModifiedBy>
  <cp:revision>16</cp:revision>
  <dcterms:created xsi:type="dcterms:W3CDTF">2009-05-18T18:51:00Z</dcterms:created>
  <dcterms:modified xsi:type="dcterms:W3CDTF">2009-05-19T09:49:00Z</dcterms:modified>
</cp:coreProperties>
</file>